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AF8D" w14:textId="77777777" w:rsidR="00E85648" w:rsidRPr="00E85648" w:rsidRDefault="00E85648" w:rsidP="00E85648">
      <w:pPr>
        <w:spacing w:before="150" w:after="150" w:line="240" w:lineRule="auto"/>
        <w:outlineLvl w:val="2"/>
        <w:rPr>
          <w:rFonts w:ascii="GothamProBold" w:eastAsia="Times New Roman" w:hAnsi="GothamProBold" w:cs="Times New Roman"/>
          <w:color w:val="1B3549"/>
          <w:kern w:val="0"/>
          <w:sz w:val="29"/>
          <w:szCs w:val="29"/>
          <w:lang w:eastAsia="ru-RU"/>
          <w14:ligatures w14:val="none"/>
        </w:rPr>
      </w:pPr>
      <w:r w:rsidRPr="00E85648">
        <w:rPr>
          <w:rFonts w:ascii="GothamProBold" w:eastAsia="Times New Roman" w:hAnsi="GothamProBold" w:cs="Times New Roman"/>
          <w:color w:val="1B3549"/>
          <w:kern w:val="0"/>
          <w:sz w:val="29"/>
          <w:szCs w:val="29"/>
          <w:lang w:eastAsia="ru-RU"/>
          <w14:ligatures w14:val="none"/>
        </w:rPr>
        <w:t>Постановление Правительства Российской Федерации № 1816</w:t>
      </w:r>
    </w:p>
    <w:p w14:paraId="44037137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531B1F46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E8564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12 ноября 2020 года было приято Постановление Правительства Российской Федерации № 1816, которое устанавливает на федеральном уровне перечень случаев, при которых при строительстве или реконструкции объектов не требуется получать разрешение на строительство и разрабатывать документацию по планировке территории, а также виды объектов, которые можно размещать без предоставления земельных участков.</w:t>
      </w:r>
    </w:p>
    <w:p w14:paraId="528BA788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52A6E3D9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E8564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Ранее часть вопросов регулировалось региональным законодательством, синхронизации для взаимосвязанных этапов градостроительного процесса не было, что приводило к трудностям правоприменения. Теперь вместо трех федеральных и нескольких десятков региональных нормативно-правовых актов будет работать один. Это позволит ускорить сроки реализации таких проектов на три-шесть месяцев.</w:t>
      </w:r>
    </w:p>
    <w:p w14:paraId="677FD4B2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2E0F9AD7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E8564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Согласно федеральному законодательству, Правительство Российской Федерации устанавливает случаи, при которых не требуется получение разрешения на строительство, а также подготовка документации по планировке территории для строительства и реконструкции линейного объекта.</w:t>
      </w:r>
    </w:p>
    <w:p w14:paraId="27B3EC58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3C7EB553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E8564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Постановлением гармонизированы такие случаи путем приведения единообразию наименования объектов, размещение которых не требует как подготовки документации по планировке территории, так и получения разрешения на строительство.</w:t>
      </w:r>
    </w:p>
    <w:p w14:paraId="63FF0452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4955AF74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E8564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К таким объектам на федеральном уровне отнесены:</w:t>
      </w:r>
    </w:p>
    <w:p w14:paraId="7738E408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E8564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• линии связи и сооружений связи, не являющихся особо опасными, технически сложными объектами связи;</w:t>
      </w:r>
    </w:p>
    <w:p w14:paraId="5C910083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E8564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• линии электропередачи классом напряжения до 35 кВ включительно, а также связанных с ними трансформаторных подстанций, распределительных пунктов;</w:t>
      </w:r>
    </w:p>
    <w:p w14:paraId="41CD9A4D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E8564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• тепловые сети, транспортирующих водяной пар с рабочим давлением до 1,6 МПа включительно или горячую воду с температурой до 150 °C включительно;</w:t>
      </w:r>
    </w:p>
    <w:p w14:paraId="07A5475B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E8564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• водопроводы и водоводов всех видов диаметром до 500 мм;</w:t>
      </w:r>
    </w:p>
    <w:p w14:paraId="6AAF1731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E8564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• линейные сооружения водоотведения диаметром до 1000 мм;</w:t>
      </w:r>
    </w:p>
    <w:p w14:paraId="5A19A849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E8564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• линейные объекты, размещаемые пользователем недр в целях проведения работ по геологическому изучению недр и (или) разведки и добычи полезных ископаемых в границах участков недр, при условии, что такие объекты не являются особо опасными, технически сложными и уникальные объектами, и одновременно, строительство, реконструкция таких объектов осуществляется за пределами границ населенных пунктов;</w:t>
      </w:r>
    </w:p>
    <w:p w14:paraId="2559F188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E8564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• отдельно стоящие ветроэнергетические установки высотой менее чем 250 метров, а также солнечные батареи;</w:t>
      </w:r>
    </w:p>
    <w:p w14:paraId="0693AF4C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E8564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• автомобильные дороги IV и V категории;</w:t>
      </w:r>
    </w:p>
    <w:p w14:paraId="6AB8B59F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E8564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• объекты капитального строительства, являющихся элементами обустройства и (или) защитными сооружениями автомобильных дорог, расположенными в полосе отвода автомобильных дорог;</w:t>
      </w:r>
    </w:p>
    <w:p w14:paraId="4B1C8BBF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E8564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• местные улицы, местные дороги, проезды улично-дорожной сети сельских поселений;</w:t>
      </w:r>
    </w:p>
    <w:p w14:paraId="212A0950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E8564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• пешеходные улицы и площади городов;</w:t>
      </w:r>
    </w:p>
    <w:p w14:paraId="64B3FD41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E8564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• парковые дороги, проезды, велосипедные дорожки.</w:t>
      </w:r>
    </w:p>
    <w:p w14:paraId="6807937B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05B1D2F8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E8564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Постановление вносит значительные изменения не только в законодательство о градостроительной деятельности, но и в земельное законодательство.</w:t>
      </w:r>
    </w:p>
    <w:p w14:paraId="11F71C2F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p w14:paraId="5000F15E" w14:textId="77777777" w:rsidR="00E85648" w:rsidRPr="00E85648" w:rsidRDefault="00E85648" w:rsidP="00E8564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E85648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Площадки для размещения строительных грузов и строительной техники, а также некапитальные строения, предназначенные для обеспечения потребностей застройщика (мобильные бытовые городки, офисы продаж), отнесены к числу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14:paraId="3DEDB631" w14:textId="77777777" w:rsidR="00D36433" w:rsidRDefault="00D36433"/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Pro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66"/>
    <w:rsid w:val="00725966"/>
    <w:rsid w:val="00D36433"/>
    <w:rsid w:val="00E8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8940A-9D13-443B-B5D5-6D2A3657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5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564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2023-04-05T09:28:00Z</dcterms:created>
  <dcterms:modified xsi:type="dcterms:W3CDTF">2023-04-05T09:28:00Z</dcterms:modified>
</cp:coreProperties>
</file>