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57" w:rsidRDefault="00295D57" w:rsidP="00295D57">
      <w:pPr>
        <w:ind w:firstLine="0"/>
        <w:jc w:val="center"/>
        <w:rPr>
          <w:szCs w:val="28"/>
        </w:rPr>
      </w:pPr>
      <w:bookmarkStart w:id="0" w:name="_Toc134019849"/>
      <w:r w:rsidRPr="001F1CAB">
        <w:rPr>
          <w:noProof/>
          <w:szCs w:val="28"/>
        </w:rPr>
        <w:drawing>
          <wp:anchor distT="0" distB="0" distL="114300" distR="114300" simplePos="0" relativeHeight="251659264" behindDoc="0" locked="0" layoutInCell="1" allowOverlap="1" wp14:anchorId="53D8D4D0" wp14:editId="4069043B">
            <wp:simplePos x="0" y="0"/>
            <wp:positionH relativeFrom="column">
              <wp:posOffset>2724150</wp:posOffset>
            </wp:positionH>
            <wp:positionV relativeFrom="paragraph">
              <wp:posOffset>-553085</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D57" w:rsidRPr="001F1CAB" w:rsidRDefault="00295D57" w:rsidP="00295D57">
      <w:pPr>
        <w:ind w:firstLine="0"/>
        <w:jc w:val="center"/>
        <w:rPr>
          <w:szCs w:val="28"/>
        </w:rPr>
      </w:pPr>
      <w:r w:rsidRPr="001F1CAB">
        <w:rPr>
          <w:szCs w:val="28"/>
        </w:rPr>
        <w:t>АДМИНИСТРАЦИЯ</w:t>
      </w:r>
    </w:p>
    <w:p w:rsidR="00295D57" w:rsidRPr="001F1CAB" w:rsidRDefault="00295D57" w:rsidP="00295D57">
      <w:pPr>
        <w:ind w:firstLine="0"/>
        <w:jc w:val="center"/>
        <w:rPr>
          <w:szCs w:val="28"/>
        </w:rPr>
      </w:pPr>
      <w:r w:rsidRPr="001F1CAB">
        <w:rPr>
          <w:szCs w:val="28"/>
        </w:rPr>
        <w:t>ГОРОДСКОГО ПОСЕЛЕНИЯ – ГОРОД ОСТРОГОЖСК</w:t>
      </w:r>
    </w:p>
    <w:p w:rsidR="00295D57" w:rsidRPr="001F1CAB" w:rsidRDefault="00295D57" w:rsidP="00295D57">
      <w:pPr>
        <w:ind w:firstLine="0"/>
        <w:jc w:val="center"/>
        <w:rPr>
          <w:szCs w:val="28"/>
        </w:rPr>
      </w:pPr>
      <w:r w:rsidRPr="001F1CAB">
        <w:rPr>
          <w:szCs w:val="28"/>
        </w:rPr>
        <w:t>ОСТРОГОЖСКОГО МУНИЦИПАЛЬНОГО РАЙОНА</w:t>
      </w:r>
    </w:p>
    <w:p w:rsidR="00295D57" w:rsidRPr="001F1CAB" w:rsidRDefault="00295D57" w:rsidP="00295D57">
      <w:pPr>
        <w:ind w:firstLine="0"/>
        <w:jc w:val="center"/>
        <w:rPr>
          <w:szCs w:val="28"/>
        </w:rPr>
      </w:pPr>
      <w:r w:rsidRPr="001F1CAB">
        <w:rPr>
          <w:szCs w:val="28"/>
        </w:rPr>
        <w:t>ВОРОНЕЖСКОЙ ОБЛАСТИ</w:t>
      </w:r>
    </w:p>
    <w:p w:rsidR="002D36FE" w:rsidRPr="00D11FCD" w:rsidRDefault="002D36FE" w:rsidP="002D36FE">
      <w:pPr>
        <w:pStyle w:val="1"/>
      </w:pPr>
      <w:r w:rsidRPr="00D11FCD">
        <w:t>ПОСТАНОВЛЕНИЕ</w:t>
      </w:r>
      <w:bookmarkEnd w:id="0"/>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both"/>
        <w:rPr>
          <w:rFonts w:ascii="Times New Roman" w:hAnsi="Times New Roman" w:cs="Times New Roman"/>
          <w:bCs/>
          <w:sz w:val="28"/>
          <w:szCs w:val="28"/>
        </w:rPr>
      </w:pPr>
      <w:r w:rsidRPr="00D11FCD">
        <w:rPr>
          <w:rFonts w:ascii="Times New Roman" w:hAnsi="Times New Roman" w:cs="Times New Roman"/>
          <w:bCs/>
          <w:sz w:val="28"/>
          <w:szCs w:val="28"/>
        </w:rPr>
        <w:t>«___» ______________ 2023 г.                                                       № ____</w:t>
      </w:r>
    </w:p>
    <w:p w:rsidR="002D36FE" w:rsidRPr="00295D57" w:rsidRDefault="00295D57" w:rsidP="002D36FE">
      <w:pPr>
        <w:pStyle w:val="ConsPlusNormal"/>
        <w:jc w:val="both"/>
        <w:rPr>
          <w:rFonts w:ascii="Times New Roman" w:hAnsi="Times New Roman" w:cs="Times New Roman"/>
          <w:bCs/>
          <w:sz w:val="24"/>
          <w:szCs w:val="24"/>
        </w:rPr>
      </w:pPr>
      <w:r>
        <w:rPr>
          <w:rFonts w:ascii="Times New Roman" w:hAnsi="Times New Roman" w:cs="Times New Roman"/>
          <w:bCs/>
          <w:sz w:val="28"/>
          <w:szCs w:val="28"/>
        </w:rPr>
        <w:t xml:space="preserve">               </w:t>
      </w:r>
      <w:r w:rsidRPr="00295D57">
        <w:rPr>
          <w:rFonts w:ascii="Times New Roman" w:hAnsi="Times New Roman" w:cs="Times New Roman"/>
          <w:bCs/>
          <w:sz w:val="24"/>
          <w:szCs w:val="24"/>
        </w:rPr>
        <w:t>г. Острогожск</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center"/>
        <w:rPr>
          <w:rFonts w:ascii="Times New Roman" w:hAnsi="Times New Roman" w:cs="Times New Roman"/>
          <w:b/>
          <w:sz w:val="28"/>
          <w:szCs w:val="28"/>
        </w:rPr>
      </w:pPr>
      <w:r w:rsidRPr="00D11FCD">
        <w:rPr>
          <w:rFonts w:ascii="Times New Roman" w:hAnsi="Times New Roman" w:cs="Times New Roman"/>
          <w:b/>
          <w:sz w:val="28"/>
          <w:szCs w:val="28"/>
        </w:rPr>
        <w:t xml:space="preserve">Об утверждении административного регламента предоставления </w:t>
      </w:r>
      <w:r w:rsidR="00735775">
        <w:rPr>
          <w:rFonts w:ascii="Times New Roman" w:hAnsi="Times New Roman" w:cs="Times New Roman"/>
          <w:b/>
          <w:sz w:val="28"/>
          <w:szCs w:val="28"/>
        </w:rPr>
        <w:t>Муниципальной услуги</w:t>
      </w:r>
      <w:r w:rsidRPr="00D11FCD">
        <w:rPr>
          <w:rFonts w:ascii="Times New Roman" w:hAnsi="Times New Roman" w:cs="Times New Roman"/>
          <w:b/>
          <w:sz w:val="28"/>
          <w:szCs w:val="28"/>
        </w:rPr>
        <w:t xml:space="preserve"> «</w:t>
      </w:r>
      <w:r w:rsidRPr="002D36FE">
        <w:rPr>
          <w:rFonts w:ascii="Times New Roman" w:hAnsi="Times New Roman" w:cs="Times New Roman"/>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95D57">
        <w:rPr>
          <w:rFonts w:ascii="Times New Roman" w:hAnsi="Times New Roman" w:cs="Times New Roman"/>
          <w:b/>
          <w:sz w:val="28"/>
          <w:szCs w:val="28"/>
        </w:rPr>
        <w:t xml:space="preserve">» на территории </w:t>
      </w:r>
      <w:r w:rsidR="00295D57" w:rsidRPr="00295D57">
        <w:rPr>
          <w:rFonts w:ascii="Times New Roman" w:hAnsi="Times New Roman" w:cs="Times New Roman"/>
          <w:b/>
          <w:sz w:val="28"/>
          <w:szCs w:val="28"/>
        </w:rPr>
        <w:t>городского поселения – город Острогожск Острогожского муниципального района Воронежской области</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r w:rsidRPr="00D11FCD">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w:t>
      </w:r>
      <w:r w:rsidR="00295D57">
        <w:t xml:space="preserve"> </w:t>
      </w:r>
      <w:r w:rsidRPr="00D11FCD">
        <w:t xml:space="preserve">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95D57" w:rsidRPr="00295D57">
        <w:t>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center"/>
        <w:rPr>
          <w:rFonts w:ascii="Times New Roman" w:hAnsi="Times New Roman" w:cs="Times New Roman"/>
          <w:b/>
          <w:sz w:val="28"/>
          <w:szCs w:val="28"/>
        </w:rPr>
      </w:pPr>
      <w:r w:rsidRPr="00D11FCD">
        <w:rPr>
          <w:rFonts w:ascii="Times New Roman" w:hAnsi="Times New Roman" w:cs="Times New Roman"/>
          <w:b/>
          <w:sz w:val="28"/>
          <w:szCs w:val="28"/>
        </w:rPr>
        <w:t>ПОСТАНОВЛЯЕТ:</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r w:rsidRPr="00D11FCD">
        <w:t xml:space="preserve">1. Утвердить административный регламент по предоставлению </w:t>
      </w:r>
      <w:r w:rsidR="00735775">
        <w:t>Муниципальной услуги</w:t>
      </w:r>
      <w:r w:rsidRPr="00D11FCD">
        <w:t xml:space="preserve"> «</w:t>
      </w:r>
      <w:r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11FCD">
        <w:t xml:space="preserve">» на территории </w:t>
      </w:r>
      <w:r w:rsidR="00295D57" w:rsidRPr="00295D57">
        <w:rPr>
          <w:szCs w:val="28"/>
        </w:rPr>
        <w:lastRenderedPageBreak/>
        <w:t>городского поселения – город Острогожск Острогожского муниципального района Воронежской области</w:t>
      </w:r>
      <w:r w:rsidRPr="00D11FCD">
        <w:t xml:space="preserve"> согласно приложению к настоящему постановлению.</w:t>
      </w:r>
    </w:p>
    <w:p w:rsidR="002D36FE" w:rsidRPr="00D11FCD" w:rsidRDefault="002D36FE" w:rsidP="002D36FE">
      <w:r w:rsidRPr="00D11FCD">
        <w:t xml:space="preserve">2. Признать утратившими силу следующие постановления администрации </w:t>
      </w:r>
      <w:r w:rsidR="00295D57" w:rsidRPr="00295D57">
        <w:rPr>
          <w:szCs w:val="28"/>
        </w:rPr>
        <w:t>городского поселения – город Острогожск Острогожского муниципального района Воронежской области</w:t>
      </w:r>
      <w:r w:rsidRPr="00D11FCD">
        <w:t>:</w:t>
      </w:r>
    </w:p>
    <w:p w:rsidR="002D36FE" w:rsidRPr="00D11FCD" w:rsidRDefault="00295D57" w:rsidP="002D36FE">
      <w:r>
        <w:t>- от 03.02.2021 г. № 31 «</w:t>
      </w:r>
      <w:r w:rsidRPr="00295D57">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r w:rsidR="002D36FE" w:rsidRPr="00D11FCD">
        <w:t>;</w:t>
      </w:r>
    </w:p>
    <w:p w:rsidR="00CA6882" w:rsidRDefault="00CA6882" w:rsidP="00CA6882">
      <w:pPr>
        <w:pStyle w:val="a9"/>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CA6882" w:rsidRPr="00582FEE" w:rsidRDefault="00CA6882" w:rsidP="00CA6882">
      <w:pPr>
        <w:pStyle w:val="a9"/>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CA6882" w:rsidRPr="00582FEE" w:rsidRDefault="00CA6882" w:rsidP="00CA6882">
      <w:pPr>
        <w:rPr>
          <w:szCs w:val="28"/>
        </w:rPr>
      </w:pPr>
    </w:p>
    <w:tbl>
      <w:tblPr>
        <w:tblW w:w="0" w:type="auto"/>
        <w:tblLook w:val="04A0" w:firstRow="1" w:lastRow="0" w:firstColumn="1" w:lastColumn="0" w:noHBand="0" w:noVBand="1"/>
      </w:tblPr>
      <w:tblGrid>
        <w:gridCol w:w="5637"/>
        <w:gridCol w:w="1417"/>
        <w:gridCol w:w="2516"/>
      </w:tblGrid>
      <w:tr w:rsidR="00CA6882" w:rsidRPr="00582FEE" w:rsidTr="00295D57">
        <w:tc>
          <w:tcPr>
            <w:tcW w:w="5637" w:type="dxa"/>
            <w:shd w:val="clear" w:color="auto" w:fill="auto"/>
          </w:tcPr>
          <w:p w:rsidR="00295D57" w:rsidRDefault="00CA6882" w:rsidP="00295D57">
            <w:pPr>
              <w:ind w:firstLine="0"/>
              <w:rPr>
                <w:szCs w:val="28"/>
              </w:rPr>
            </w:pPr>
            <w:r w:rsidRPr="00582FEE">
              <w:rPr>
                <w:szCs w:val="28"/>
              </w:rPr>
              <w:t>Глава</w:t>
            </w:r>
            <w:r w:rsidR="00295D57">
              <w:rPr>
                <w:szCs w:val="28"/>
              </w:rPr>
              <w:t xml:space="preserve"> администрации </w:t>
            </w:r>
          </w:p>
          <w:p w:rsidR="00CA6882" w:rsidRPr="00582FEE" w:rsidRDefault="00295D57" w:rsidP="00295D57">
            <w:pPr>
              <w:ind w:firstLine="0"/>
              <w:rPr>
                <w:szCs w:val="28"/>
              </w:rPr>
            </w:pPr>
            <w:proofErr w:type="gramStart"/>
            <w:r>
              <w:rPr>
                <w:szCs w:val="28"/>
              </w:rPr>
              <w:t>городского</w:t>
            </w:r>
            <w:proofErr w:type="gramEnd"/>
            <w:r>
              <w:rPr>
                <w:szCs w:val="28"/>
              </w:rPr>
              <w:t xml:space="preserve"> поселения – город Острогожск </w:t>
            </w:r>
          </w:p>
        </w:tc>
        <w:tc>
          <w:tcPr>
            <w:tcW w:w="1417" w:type="dxa"/>
            <w:shd w:val="clear" w:color="auto" w:fill="auto"/>
          </w:tcPr>
          <w:p w:rsidR="00CA6882" w:rsidRPr="00582FEE" w:rsidRDefault="00CA6882" w:rsidP="00C75D3C">
            <w:pPr>
              <w:rPr>
                <w:szCs w:val="28"/>
              </w:rPr>
            </w:pPr>
          </w:p>
        </w:tc>
        <w:tc>
          <w:tcPr>
            <w:tcW w:w="2516" w:type="dxa"/>
            <w:shd w:val="clear" w:color="auto" w:fill="auto"/>
          </w:tcPr>
          <w:p w:rsidR="00295D57" w:rsidRDefault="00295D57" w:rsidP="00295D57">
            <w:pPr>
              <w:ind w:firstLine="34"/>
              <w:rPr>
                <w:szCs w:val="28"/>
              </w:rPr>
            </w:pPr>
          </w:p>
          <w:p w:rsidR="00CA6882" w:rsidRPr="00582FEE" w:rsidRDefault="00295D57" w:rsidP="00295D57">
            <w:pPr>
              <w:ind w:firstLine="34"/>
              <w:rPr>
                <w:szCs w:val="28"/>
              </w:rPr>
            </w:pPr>
            <w:r>
              <w:rPr>
                <w:szCs w:val="28"/>
              </w:rPr>
              <w:t>А.В. Колесников</w:t>
            </w:r>
          </w:p>
        </w:tc>
      </w:tr>
    </w:tbl>
    <w:p w:rsidR="00CA6882" w:rsidRDefault="00CA6882" w:rsidP="00CA6882">
      <w:pPr>
        <w:ind w:left="3969"/>
        <w:rPr>
          <w:szCs w:val="28"/>
        </w:rPr>
      </w:pPr>
    </w:p>
    <w:p w:rsidR="00CA6882" w:rsidRDefault="00CA6882" w:rsidP="00CA6882">
      <w:pPr>
        <w:ind w:left="3969"/>
        <w:rPr>
          <w:szCs w:val="28"/>
        </w:rPr>
      </w:pPr>
    </w:p>
    <w:p w:rsidR="00CA6882" w:rsidRDefault="00CA6882" w:rsidP="00CA6882">
      <w:pPr>
        <w:ind w:left="3969"/>
        <w:rPr>
          <w:szCs w:val="28"/>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295D57" w:rsidRDefault="00295D57" w:rsidP="00295D57">
      <w:pPr>
        <w:ind w:firstLine="0"/>
        <w:rPr>
          <w:sz w:val="22"/>
        </w:rPr>
      </w:pPr>
    </w:p>
    <w:p w:rsidR="00CA6882" w:rsidRPr="00295D57" w:rsidRDefault="00295D57" w:rsidP="00295D57">
      <w:pPr>
        <w:ind w:firstLine="0"/>
        <w:rPr>
          <w:sz w:val="22"/>
        </w:rPr>
      </w:pPr>
      <w:r w:rsidRPr="00295D57">
        <w:rPr>
          <w:sz w:val="22"/>
        </w:rPr>
        <w:t>Исп. Кирпиченко А.С.</w:t>
      </w:r>
    </w:p>
    <w:p w:rsidR="00295D57" w:rsidRPr="00295D57" w:rsidRDefault="00295D57" w:rsidP="00295D57">
      <w:pPr>
        <w:ind w:firstLine="0"/>
        <w:rPr>
          <w:sz w:val="22"/>
        </w:rPr>
      </w:pPr>
      <w:r w:rsidRPr="00295D57">
        <w:rPr>
          <w:sz w:val="22"/>
        </w:rPr>
        <w:t>Согл. Павленко Х.О.</w:t>
      </w:r>
    </w:p>
    <w:p w:rsidR="004546C7" w:rsidRPr="00CA6A44" w:rsidRDefault="004546C7" w:rsidP="00CA6A44">
      <w:pPr>
        <w:rPr>
          <w:rFonts w:cs="Times New Roman"/>
          <w:szCs w:val="28"/>
        </w:rPr>
      </w:pPr>
    </w:p>
    <w:p w:rsidR="003E3632" w:rsidRPr="00582FEE" w:rsidRDefault="003E3632" w:rsidP="00295D57">
      <w:pPr>
        <w:ind w:left="5103" w:hanging="5103"/>
        <w:jc w:val="right"/>
        <w:rPr>
          <w:szCs w:val="28"/>
        </w:rPr>
      </w:pPr>
      <w:r w:rsidRPr="00582FEE">
        <w:rPr>
          <w:szCs w:val="28"/>
        </w:rPr>
        <w:lastRenderedPageBreak/>
        <w:t>Приложение</w:t>
      </w:r>
    </w:p>
    <w:p w:rsidR="003E3632" w:rsidRPr="00582FEE" w:rsidRDefault="00295D57" w:rsidP="00295D57">
      <w:pPr>
        <w:ind w:left="4820" w:firstLine="0"/>
        <w:jc w:val="right"/>
        <w:rPr>
          <w:szCs w:val="28"/>
        </w:rPr>
      </w:pPr>
      <w:proofErr w:type="gramStart"/>
      <w:r>
        <w:rPr>
          <w:szCs w:val="28"/>
        </w:rPr>
        <w:t>к</w:t>
      </w:r>
      <w:proofErr w:type="gramEnd"/>
      <w:r>
        <w:rPr>
          <w:szCs w:val="28"/>
        </w:rPr>
        <w:t xml:space="preserve"> постановлению </w:t>
      </w:r>
      <w:r w:rsidR="003E3632" w:rsidRPr="00582FEE">
        <w:rPr>
          <w:szCs w:val="28"/>
        </w:rPr>
        <w:t>администрации</w:t>
      </w:r>
    </w:p>
    <w:p w:rsidR="003E3632" w:rsidRPr="00582FEE" w:rsidRDefault="00295D57" w:rsidP="00295D57">
      <w:pPr>
        <w:ind w:left="4820" w:firstLine="0"/>
        <w:jc w:val="right"/>
        <w:rPr>
          <w:szCs w:val="28"/>
        </w:rPr>
      </w:pPr>
      <w:proofErr w:type="gramStart"/>
      <w:r w:rsidRPr="00295D57">
        <w:rPr>
          <w:szCs w:val="28"/>
        </w:rPr>
        <w:t>городского</w:t>
      </w:r>
      <w:proofErr w:type="gramEnd"/>
      <w:r w:rsidRPr="00295D57">
        <w:rPr>
          <w:szCs w:val="28"/>
        </w:rPr>
        <w:t xml:space="preserve"> поселения – город Острогожск Острогожского муниципального района Воронежской области</w:t>
      </w:r>
    </w:p>
    <w:p w:rsidR="003E3632" w:rsidRDefault="003E3632" w:rsidP="00295D57">
      <w:pPr>
        <w:ind w:left="4820" w:firstLine="0"/>
        <w:jc w:val="right"/>
        <w:rPr>
          <w:szCs w:val="28"/>
        </w:rPr>
      </w:pPr>
      <w:r w:rsidRPr="00582FEE">
        <w:rPr>
          <w:szCs w:val="28"/>
        </w:rPr>
        <w:t xml:space="preserve"> от «__»__________2023</w:t>
      </w:r>
      <w:r>
        <w:rPr>
          <w:szCs w:val="28"/>
        </w:rPr>
        <w:t xml:space="preserve"> г.</w:t>
      </w:r>
      <w:r w:rsidRPr="00582FEE">
        <w:rPr>
          <w:szCs w:val="28"/>
        </w:rPr>
        <w:t xml:space="preserve"> № ___</w:t>
      </w:r>
    </w:p>
    <w:p w:rsidR="004546C7" w:rsidRPr="00CA6A44" w:rsidRDefault="004546C7" w:rsidP="00295D57">
      <w:pPr>
        <w:rPr>
          <w:rFonts w:cs="Times New Roman"/>
          <w:szCs w:val="28"/>
        </w:rPr>
      </w:pPr>
    </w:p>
    <w:p w:rsidR="002D36FE" w:rsidRPr="00D11FCD" w:rsidRDefault="00CA6A44" w:rsidP="00295D57">
      <w:pPr>
        <w:pStyle w:val="1"/>
        <w:ind w:firstLine="0"/>
      </w:pPr>
      <w:bookmarkStart w:id="1" w:name="P37"/>
      <w:bookmarkStart w:id="2" w:name="_Toc134019850"/>
      <w:bookmarkEnd w:id="1"/>
      <w:r w:rsidRPr="00CA6A44">
        <w:t>Административный регламент</w:t>
      </w:r>
      <w:r>
        <w:t xml:space="preserve"> п</w:t>
      </w:r>
      <w:r w:rsidRPr="00CA6A44">
        <w:t xml:space="preserve">редоставления </w:t>
      </w:r>
      <w:r w:rsidR="00735775">
        <w:t>Муниципальной услуги</w:t>
      </w:r>
      <w:r w:rsidR="00295D57">
        <w:t xml:space="preserve"> «</w:t>
      </w:r>
      <w:r w:rsidR="002D36FE" w:rsidRPr="002D36FE">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w:t>
      </w:r>
      <w:proofErr w:type="gramStart"/>
      <w:r w:rsidR="002D36FE" w:rsidRPr="002D36FE">
        <w:t>деятельности</w:t>
      </w:r>
      <w:r w:rsidR="00295D57">
        <w:t>»</w:t>
      </w:r>
      <w:r w:rsidR="002D36FE">
        <w:t xml:space="preserve"> </w:t>
      </w:r>
      <w:r w:rsidR="00295D57">
        <w:t xml:space="preserve">  </w:t>
      </w:r>
      <w:proofErr w:type="gramEnd"/>
      <w:r w:rsidR="00295D57">
        <w:t xml:space="preserve">                   </w:t>
      </w:r>
      <w:r w:rsidR="002D36FE" w:rsidRPr="00D11FCD">
        <w:t xml:space="preserve">на территории </w:t>
      </w:r>
      <w:bookmarkEnd w:id="2"/>
      <w:r w:rsidR="00295D57" w:rsidRPr="00295D57">
        <w:t xml:space="preserve">городского поселения – город Острогожск </w:t>
      </w:r>
      <w:r w:rsidR="00295D57">
        <w:t xml:space="preserve">         </w:t>
      </w:r>
      <w:r w:rsidR="00295D57" w:rsidRPr="00295D57">
        <w:t>Острогожского муниципального района Воронежской области</w:t>
      </w:r>
    </w:p>
    <w:p w:rsidR="004546C7" w:rsidRPr="00CA6A44" w:rsidRDefault="00FF3A44" w:rsidP="00CA6A44">
      <w:pPr>
        <w:pStyle w:val="1"/>
      </w:pPr>
      <w:bookmarkStart w:id="3" w:name="_Toc134019851"/>
      <w:r w:rsidRPr="00CA6A44">
        <w:t xml:space="preserve">Раздел </w:t>
      </w:r>
      <w:r w:rsidR="00AF4FEF">
        <w:rPr>
          <w:lang w:val="en-US"/>
        </w:rPr>
        <w:t>I</w:t>
      </w:r>
      <w:r w:rsidRPr="00CA6A44">
        <w:t xml:space="preserve">. </w:t>
      </w:r>
      <w:r w:rsidR="00CA6A44" w:rsidRPr="00CA6A44">
        <w:t>Общие положения</w:t>
      </w:r>
      <w:bookmarkEnd w:id="3"/>
    </w:p>
    <w:p w:rsidR="004546C7" w:rsidRPr="00CA6A44" w:rsidRDefault="00FF3A44" w:rsidP="00CA6A44">
      <w:pPr>
        <w:rPr>
          <w:rFonts w:cs="Times New Roman"/>
          <w:szCs w:val="28"/>
        </w:rPr>
      </w:pPr>
      <w:r w:rsidRPr="00CA6A44">
        <w:rPr>
          <w:rFonts w:cs="Times New Roman"/>
          <w:szCs w:val="28"/>
        </w:rPr>
        <w:t xml:space="preserve">1.1. Настоящий Административный регламент предоставления </w:t>
      </w:r>
      <w:r w:rsidR="00735775">
        <w:rPr>
          <w:rFonts w:cs="Times New Roman"/>
          <w:szCs w:val="28"/>
        </w:rPr>
        <w:t>Муниципальной услуги</w:t>
      </w:r>
      <w:r w:rsidR="003508AF">
        <w:rPr>
          <w:rFonts w:cs="Times New Roman"/>
          <w:szCs w:val="28"/>
        </w:rPr>
        <w:t xml:space="preserve"> «</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508AF">
        <w:rPr>
          <w:rFonts w:cs="Times New Roman"/>
          <w:szCs w:val="28"/>
        </w:rPr>
        <w:t>»</w:t>
      </w:r>
      <w:r w:rsidRPr="00CA6A44">
        <w:rPr>
          <w:rFonts w:cs="Times New Roman"/>
          <w:szCs w:val="28"/>
        </w:rPr>
        <w:t xml:space="preserve"> на территории </w:t>
      </w:r>
      <w:r w:rsidR="003508AF" w:rsidRPr="003508AF">
        <w:rPr>
          <w:rFonts w:cs="Times New Roman"/>
          <w:szCs w:val="28"/>
        </w:rPr>
        <w:t>городского поселения – город Острогожск Острогожского муниципального района Воронежской области</w:t>
      </w:r>
      <w:r w:rsidRPr="00CA6A44">
        <w:rPr>
          <w:rFonts w:cs="Times New Roman"/>
          <w:szCs w:val="28"/>
        </w:rPr>
        <w:t xml:space="preserve"> (далее - Административный регламент) разработан в целях повышения качества и доступности предоставления </w:t>
      </w:r>
      <w:r w:rsidR="00735775">
        <w:rPr>
          <w:rFonts w:cs="Times New Roman"/>
          <w:szCs w:val="28"/>
        </w:rPr>
        <w:t>Муниципальной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3508AF" w:rsidRPr="003508AF">
        <w:t xml:space="preserve">городского поселения – город Острогожск Острогожского муниципального района Воронежской области </w:t>
      </w:r>
      <w:r w:rsidR="00AF4FEF" w:rsidRPr="00251D01">
        <w:t xml:space="preserve">(далее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735775">
        <w:rPr>
          <w:rFonts w:cs="Times New Roman"/>
          <w:szCs w:val="28"/>
        </w:rPr>
        <w:t>Муниципальной услуги</w:t>
      </w:r>
      <w:r w:rsidR="003508AF">
        <w:rPr>
          <w:rFonts w:cs="Times New Roman"/>
          <w:szCs w:val="28"/>
        </w:rPr>
        <w:t xml:space="preserve"> «</w:t>
      </w:r>
      <w:r w:rsidRPr="00CA6A44">
        <w:rPr>
          <w:rFonts w:cs="Times New Roman"/>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508AF">
        <w:rPr>
          <w:rFonts w:cs="Times New Roman"/>
          <w:szCs w:val="28"/>
        </w:rPr>
        <w:t>»</w:t>
      </w:r>
      <w:r w:rsidRPr="00CA6A44">
        <w:rPr>
          <w:rFonts w:cs="Times New Roman"/>
          <w:szCs w:val="28"/>
        </w:rPr>
        <w:t xml:space="preserve"> в </w:t>
      </w:r>
      <w:r w:rsidR="003508AF">
        <w:rPr>
          <w:rFonts w:cs="Times New Roman"/>
          <w:szCs w:val="28"/>
        </w:rPr>
        <w:t>городском</w:t>
      </w:r>
      <w:r w:rsidR="003508AF" w:rsidRPr="003508AF">
        <w:rPr>
          <w:rFonts w:cs="Times New Roman"/>
          <w:szCs w:val="28"/>
        </w:rPr>
        <w:t xml:space="preserve"> поселени</w:t>
      </w:r>
      <w:r w:rsidR="003508AF">
        <w:rPr>
          <w:rFonts w:cs="Times New Roman"/>
          <w:szCs w:val="28"/>
        </w:rPr>
        <w:t>и</w:t>
      </w:r>
      <w:r w:rsidR="003508AF" w:rsidRPr="003508AF">
        <w:rPr>
          <w:rFonts w:cs="Times New Roman"/>
          <w:szCs w:val="28"/>
        </w:rPr>
        <w:t xml:space="preserve"> – город Острогожск Острогожского муниципального района Воронежской области</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CA6A44">
      <w:pPr>
        <w:rPr>
          <w:rFonts w:cs="Times New Roman"/>
          <w:szCs w:val="28"/>
        </w:rPr>
      </w:pPr>
    </w:p>
    <w:p w:rsidR="004546C7" w:rsidRPr="00CA6A44" w:rsidRDefault="00FF3A44" w:rsidP="00CA6A44">
      <w:pPr>
        <w:pStyle w:val="2"/>
      </w:pPr>
      <w:bookmarkStart w:id="4" w:name="_Toc134019852"/>
      <w:r w:rsidRPr="00CA6A44">
        <w:t>Круг заявителей</w:t>
      </w:r>
      <w:bookmarkEnd w:id="4"/>
    </w:p>
    <w:p w:rsidR="004546C7" w:rsidRPr="00CA6A44" w:rsidRDefault="004546C7" w:rsidP="00CA6A44">
      <w:pPr>
        <w:rPr>
          <w:rFonts w:cs="Times New Roman"/>
          <w:szCs w:val="28"/>
        </w:rPr>
      </w:pPr>
    </w:p>
    <w:p w:rsidR="004546C7" w:rsidRPr="00CA6A44" w:rsidRDefault="00FF3A44" w:rsidP="00CA6A44">
      <w:bookmarkStart w:id="5" w:name="P51"/>
      <w:bookmarkEnd w:id="5"/>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w:t>
      </w:r>
      <w:r w:rsidR="00AF4FEF">
        <w:lastRenderedPageBreak/>
        <w:t>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6" w:name="_Toc133243625"/>
      <w:r>
        <w:t>Требования к порядку информирования о предоставлении</w:t>
      </w:r>
      <w:r>
        <w:br/>
      </w:r>
      <w:r w:rsidR="00735775">
        <w:t>Муниципальной услуги</w:t>
      </w:r>
      <w:bookmarkEnd w:id="6"/>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AF4FEF">
      <w:pPr>
        <w:pStyle w:val="12"/>
      </w:pPr>
      <w:proofErr w:type="gramStart"/>
      <w:r>
        <w:t>непосредственно</w:t>
      </w:r>
      <w:proofErr w:type="gramEnd"/>
      <w:r>
        <w:t xml:space="preserve">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AF4FEF">
      <w:pPr>
        <w:pStyle w:val="12"/>
      </w:pPr>
      <w:r>
        <w:t>по телефону в Администрации или многофункциональном центре;</w:t>
      </w:r>
    </w:p>
    <w:p w:rsidR="00AF4FEF" w:rsidRDefault="00AF4FEF" w:rsidP="00AF4FEF">
      <w:pPr>
        <w:pStyle w:val="12"/>
      </w:pPr>
      <w:r>
        <w:t>письменно, в том числе посредством электронной почты, факсимильной связи;</w:t>
      </w:r>
    </w:p>
    <w:p w:rsidR="00AF4FEF" w:rsidRDefault="00AF4FEF" w:rsidP="00AF4FEF">
      <w:pPr>
        <w:pStyle w:val="12"/>
      </w:pPr>
      <w:r>
        <w:t>посредством размещения в открытой и доступной форме информации:</w:t>
      </w:r>
    </w:p>
    <w:p w:rsidR="00AF4FEF" w:rsidRDefault="000177F2" w:rsidP="00AF4FEF">
      <w:pPr>
        <w:pStyle w:val="12"/>
      </w:pPr>
      <w:proofErr w:type="gramStart"/>
      <w:r w:rsidRPr="00CA6A44">
        <w:rPr>
          <w:rFonts w:cs="Times New Roman"/>
          <w:szCs w:val="28"/>
        </w:rPr>
        <w:t>в</w:t>
      </w:r>
      <w:proofErr w:type="gramEnd"/>
      <w:r w:rsidRPr="00CA6A44">
        <w:rPr>
          <w:rFonts w:cs="Times New Roman"/>
          <w:szCs w:val="28"/>
        </w:rPr>
        <w:t xml:space="preserve"> федеральной государственной информационной системе </w:t>
      </w:r>
      <w:r w:rsidR="003508AF">
        <w:rPr>
          <w:rFonts w:cs="Times New Roman"/>
          <w:szCs w:val="28"/>
        </w:rPr>
        <w:t>«</w:t>
      </w:r>
      <w:r w:rsidRPr="00CA6A44">
        <w:rPr>
          <w:rFonts w:cs="Times New Roman"/>
          <w:szCs w:val="28"/>
        </w:rPr>
        <w:t xml:space="preserve">Единый портал государственных </w:t>
      </w:r>
      <w:r w:rsidR="003508AF">
        <w:rPr>
          <w:rFonts w:cs="Times New Roman"/>
          <w:szCs w:val="28"/>
        </w:rPr>
        <w:t>и муниципальных услуг (функций)»</w:t>
      </w:r>
      <w:r w:rsidRPr="00CA6A44">
        <w:rPr>
          <w:rFonts w:cs="Times New Roman"/>
          <w:szCs w:val="28"/>
        </w:rPr>
        <w:t xml:space="preserve">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proofErr w:type="spellStart"/>
      <w:r>
        <w:rPr>
          <w:rFonts w:cs="Times New Roman"/>
          <w:szCs w:val="28"/>
          <w:lang w:val="en-US"/>
        </w:rPr>
        <w:t>govvrn</w:t>
      </w:r>
      <w:proofErr w:type="spellEnd"/>
      <w:r w:rsidRPr="00CA6A44">
        <w:rPr>
          <w:rFonts w:cs="Times New Roman"/>
          <w:szCs w:val="28"/>
        </w:rPr>
        <w:t>.</w:t>
      </w:r>
      <w:proofErr w:type="spellStart"/>
      <w:r w:rsidRPr="00CA6A44">
        <w:rPr>
          <w:rFonts w:cs="Times New Roman"/>
          <w:szCs w:val="28"/>
        </w:rPr>
        <w:t>ru</w:t>
      </w:r>
      <w:proofErr w:type="spellEnd"/>
      <w:r w:rsidRPr="00CA6A44">
        <w:rPr>
          <w:rFonts w:cs="Times New Roman"/>
          <w:szCs w:val="28"/>
        </w:rPr>
        <w:t>/) (далее - региональный портал</w:t>
      </w:r>
      <w:r w:rsidR="003D5AB5">
        <w:rPr>
          <w:rFonts w:cs="Times New Roman"/>
          <w:szCs w:val="28"/>
        </w:rPr>
        <w:t>, РПГУ</w:t>
      </w:r>
      <w:r w:rsidRPr="00CA6A44">
        <w:rPr>
          <w:rFonts w:cs="Times New Roman"/>
          <w:szCs w:val="28"/>
        </w:rPr>
        <w:t>)</w:t>
      </w:r>
      <w:r w:rsidR="00AF4FEF">
        <w:t>;</w:t>
      </w:r>
    </w:p>
    <w:p w:rsidR="003508AF" w:rsidRDefault="00AF4FEF" w:rsidP="00AF4FEF">
      <w:pPr>
        <w:pStyle w:val="12"/>
      </w:pPr>
      <w:proofErr w:type="gramStart"/>
      <w:r>
        <w:t>на</w:t>
      </w:r>
      <w:proofErr w:type="gramEnd"/>
      <w:r>
        <w:t xml:space="preserve"> официальном сайте</w:t>
      </w:r>
      <w:r w:rsidRPr="0093599E">
        <w:t xml:space="preserve"> </w:t>
      </w:r>
      <w:r>
        <w:t>Администрации</w:t>
      </w:r>
      <w:r w:rsidR="003508AF">
        <w:t>:</w:t>
      </w:r>
      <w:r>
        <w:t xml:space="preserve"> </w:t>
      </w:r>
    </w:p>
    <w:p w:rsidR="00AF4FEF" w:rsidRDefault="003508AF" w:rsidP="00AF4FEF">
      <w:pPr>
        <w:pStyle w:val="12"/>
      </w:pPr>
      <w:r w:rsidRPr="003508AF">
        <w:t>https://ostrogozhsk-r20.gosweb.gosuslugi.ru</w:t>
      </w:r>
    </w:p>
    <w:p w:rsidR="00AF4FEF" w:rsidRDefault="00AF4FEF" w:rsidP="00AF4FEF">
      <w:pPr>
        <w:pStyle w:val="12"/>
      </w:pPr>
      <w:proofErr w:type="gramStart"/>
      <w:r>
        <w:t>посредством</w:t>
      </w:r>
      <w:proofErr w:type="gramEnd"/>
      <w:r>
        <w:t xml:space="preserve"> размещения информации на информационных стендах Администрации или многофункционального центра.</w:t>
      </w:r>
    </w:p>
    <w:p w:rsidR="00AF4FEF" w:rsidRDefault="00AF4FEF" w:rsidP="00AF4FEF">
      <w:pPr>
        <w:pStyle w:val="12"/>
      </w:pPr>
      <w:r>
        <w:t>1.5. Информирование осуществляется по вопросам, касающимся:</w:t>
      </w:r>
    </w:p>
    <w:p w:rsidR="00AF4FEF" w:rsidRDefault="00AF4FEF" w:rsidP="00AF4FEF">
      <w:pPr>
        <w:pStyle w:val="12"/>
      </w:pPr>
      <w:r>
        <w:t xml:space="preserve">порядка предоставления </w:t>
      </w:r>
      <w:r w:rsidR="00735775">
        <w:t>Муниципальной услуги</w:t>
      </w:r>
      <w:r>
        <w:t>;</w:t>
      </w:r>
    </w:p>
    <w:p w:rsidR="00AF4FEF" w:rsidRDefault="00AF4FEF" w:rsidP="00AF4FEF">
      <w:pPr>
        <w:pStyle w:val="12"/>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AF4FEF">
      <w:pPr>
        <w:pStyle w:val="12"/>
      </w:pPr>
      <w:r>
        <w:t>справочной информации о работе Администрации (структурных подразделений Администрации);</w:t>
      </w:r>
    </w:p>
    <w:p w:rsidR="00AF4FEF" w:rsidRDefault="00AF4FEF" w:rsidP="00AF4FEF">
      <w:pPr>
        <w:pStyle w:val="12"/>
      </w:pPr>
      <w:r>
        <w:t xml:space="preserve">документов, необходимых для предоставления </w:t>
      </w:r>
      <w:r w:rsidR="00735775">
        <w:t>Муниципальной услуги</w:t>
      </w:r>
      <w:r>
        <w:t>;</w:t>
      </w:r>
    </w:p>
    <w:p w:rsidR="00AF4FEF" w:rsidRDefault="00AF4FEF" w:rsidP="00AF4FEF">
      <w:pPr>
        <w:pStyle w:val="12"/>
      </w:pPr>
      <w:r>
        <w:lastRenderedPageBreak/>
        <w:t xml:space="preserve">порядка и сроков предоставления </w:t>
      </w:r>
      <w:r w:rsidR="00735775">
        <w:t>Муниципальной услуги</w:t>
      </w:r>
      <w:r>
        <w:t>;</w:t>
      </w:r>
    </w:p>
    <w:p w:rsidR="00AF4FEF" w:rsidRDefault="00AF4FEF" w:rsidP="00AF4FEF">
      <w:pPr>
        <w:pStyle w:val="12"/>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AF4FEF">
      <w:pPr>
        <w:pStyle w:val="12"/>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AF4FEF">
      <w:pPr>
        <w:pStyle w:val="12"/>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AF4FEF">
      <w:pPr>
        <w:pStyle w:val="12"/>
      </w:pPr>
      <w:r>
        <w:t>изложить обращение в письменной форме;</w:t>
      </w:r>
    </w:p>
    <w:p w:rsidR="00AF4FEF" w:rsidRDefault="00AF4FEF" w:rsidP="00AF4FEF">
      <w:pPr>
        <w:pStyle w:val="12"/>
      </w:pPr>
      <w:r>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 xml:space="preserve">1.9. На официальном сайте Администрации, на стендах в местах предоставления услуги и в многофункциональном центре размещается </w:t>
      </w:r>
      <w:r>
        <w:lastRenderedPageBreak/>
        <w:t>следующая справочная информация:</w:t>
      </w:r>
    </w:p>
    <w:p w:rsidR="00AF4FEF" w:rsidRDefault="00AF4FEF" w:rsidP="00AF4FEF">
      <w:pPr>
        <w:pStyle w:val="12"/>
      </w:pPr>
      <w:r>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AF4FEF">
      <w:pPr>
        <w:pStyle w:val="12"/>
      </w:pPr>
      <w:proofErr w:type="gramStart"/>
      <w:r>
        <w:t>справочные</w:t>
      </w:r>
      <w:proofErr w:type="gramEnd"/>
      <w:r>
        <w:t xml:space="preserve">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телефона-автоинформатора (при наличии);</w:t>
      </w:r>
    </w:p>
    <w:p w:rsidR="00AF4FEF" w:rsidRDefault="00AF4FEF" w:rsidP="00AF4FEF">
      <w:pPr>
        <w:pStyle w:val="12"/>
      </w:pPr>
      <w:r>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7"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7"/>
    </w:p>
    <w:p w:rsidR="004546C7" w:rsidRPr="00CA6A44" w:rsidRDefault="00FF3A44" w:rsidP="00C75D3C">
      <w:pPr>
        <w:pStyle w:val="2"/>
        <w:ind w:firstLine="0"/>
      </w:pPr>
      <w:bookmarkStart w:id="8" w:name="_Toc134019855"/>
      <w:r w:rsidRPr="00CA6A44">
        <w:t xml:space="preserve">Наименование </w:t>
      </w:r>
      <w:bookmarkEnd w:id="8"/>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 </w:t>
      </w:r>
    </w:p>
    <w:p w:rsidR="004546C7" w:rsidRPr="00CA6A44" w:rsidRDefault="00FF3A44" w:rsidP="00C75D3C">
      <w:pPr>
        <w:pStyle w:val="2"/>
        <w:ind w:firstLine="0"/>
      </w:pPr>
      <w:bookmarkStart w:id="9"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9"/>
    </w:p>
    <w:p w:rsidR="004546C7" w:rsidRPr="00CA6A44" w:rsidRDefault="004546C7" w:rsidP="00CA6A44">
      <w:pPr>
        <w:rPr>
          <w:rFonts w:cs="Times New Roman"/>
          <w:szCs w:val="28"/>
        </w:rPr>
      </w:pPr>
    </w:p>
    <w:p w:rsidR="002A4EE6" w:rsidRDefault="002A4EE6" w:rsidP="002A4EE6">
      <w:pPr>
        <w:pStyle w:val="12"/>
      </w:pPr>
      <w:r>
        <w:t xml:space="preserve">2.2. Муниципальная услуга предоставляется администрацией </w:t>
      </w:r>
      <w:r w:rsidR="003508AF" w:rsidRPr="003508AF">
        <w:t>городского поселения – город Острогожск Острогожского муниципального района Воронежской области</w:t>
      </w:r>
      <w:r>
        <w:t xml:space="preserve"> (далее – Администрация).</w:t>
      </w:r>
    </w:p>
    <w:p w:rsidR="002A4EE6" w:rsidRDefault="002A4EE6" w:rsidP="002A4EE6">
      <w:pPr>
        <w:pStyle w:val="12"/>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 xml:space="preserve">также в иных формах, по выбору Заявителя, в </w:t>
      </w:r>
      <w:r w:rsidRPr="009476CE">
        <w:rPr>
          <w:szCs w:val="28"/>
        </w:rPr>
        <w:lastRenderedPageBreak/>
        <w:t>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2A4EE6" w:rsidRPr="009476CE" w:rsidRDefault="002A4EE6" w:rsidP="002A4EE6">
      <w:pPr>
        <w:ind w:firstLine="567"/>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3508AF" w:rsidRPr="003508AF">
        <w:rPr>
          <w:szCs w:val="28"/>
        </w:rPr>
        <w:t>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508AF">
        <w:rPr>
          <w:szCs w:val="28"/>
        </w:rPr>
        <w:t>.</w:t>
      </w:r>
    </w:p>
    <w:p w:rsidR="004546C7" w:rsidRPr="00CA6A44" w:rsidRDefault="004546C7" w:rsidP="00CA6A44">
      <w:pPr>
        <w:rPr>
          <w:rFonts w:cs="Times New Roman"/>
          <w:szCs w:val="28"/>
        </w:rPr>
      </w:pPr>
    </w:p>
    <w:p w:rsidR="004546C7" w:rsidRPr="00CA6A44" w:rsidRDefault="00FF3A44" w:rsidP="000B7BDF">
      <w:pPr>
        <w:pStyle w:val="2"/>
      </w:pPr>
      <w:bookmarkStart w:id="10" w:name="_Toc134019857"/>
      <w:r w:rsidRPr="00CA6A44">
        <w:t xml:space="preserve">Результат предоставления </w:t>
      </w:r>
      <w:r w:rsidR="00735775">
        <w:t>Муниципальной услуги</w:t>
      </w:r>
      <w:bookmarkEnd w:id="10"/>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1" w:name="P82"/>
      <w:bookmarkEnd w:id="11"/>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2" w:name="P83"/>
      <w:bookmarkEnd w:id="12"/>
      <w:proofErr w:type="gramStart"/>
      <w:r w:rsidRPr="00CA6A44">
        <w:rPr>
          <w:rFonts w:cs="Times New Roman"/>
          <w:szCs w:val="28"/>
        </w:rPr>
        <w:t>а</w:t>
      </w:r>
      <w:proofErr w:type="gramEnd"/>
      <w:r w:rsidRPr="00CA6A44">
        <w:rPr>
          <w:rFonts w:cs="Times New Roman"/>
          <w:szCs w:val="28"/>
        </w:rPr>
        <w:t>)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3" w:name="P86"/>
      <w:bookmarkEnd w:id="13"/>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4" w:name="P88"/>
      <w:bookmarkEnd w:id="14"/>
      <w:r w:rsidRPr="00CA6A44">
        <w:rPr>
          <w:rFonts w:cs="Times New Roman"/>
          <w:szCs w:val="28"/>
        </w:rPr>
        <w:lastRenderedPageBreak/>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CA6A44">
      <w:pPr>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 xml:space="preserve">главы администрации </w:t>
      </w:r>
      <w:r w:rsidR="003508AF" w:rsidRPr="003508AF">
        <w:rPr>
          <w:rFonts w:cs="Times New Roman"/>
          <w:szCs w:val="28"/>
        </w:rPr>
        <w:t>городского поселения – город Острогожск Острогожского муниципального района Воронежской области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3508AF">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CA6A44">
      <w:pPr>
        <w:rPr>
          <w:rFonts w:cs="Times New Roman"/>
          <w:szCs w:val="28"/>
        </w:rPr>
      </w:pPr>
    </w:p>
    <w:p w:rsidR="004546C7" w:rsidRPr="00CA6A44" w:rsidRDefault="00FF3A44" w:rsidP="00C75D3C">
      <w:pPr>
        <w:pStyle w:val="2"/>
        <w:ind w:firstLine="0"/>
      </w:pPr>
      <w:bookmarkStart w:id="15" w:name="_Toc134019858"/>
      <w:r w:rsidRPr="00CA6A44">
        <w:t xml:space="preserve">Срок предоставления </w:t>
      </w:r>
      <w:r w:rsidR="00735775">
        <w:t>Муниципальной услуги</w:t>
      </w:r>
      <w:bookmarkEnd w:id="15"/>
    </w:p>
    <w:p w:rsidR="004546C7" w:rsidRPr="00CA6A44" w:rsidRDefault="004546C7" w:rsidP="00CA6A44">
      <w:pPr>
        <w:rPr>
          <w:rFonts w:cs="Times New Roman"/>
          <w:szCs w:val="28"/>
        </w:rPr>
      </w:pPr>
    </w:p>
    <w:p w:rsidR="004546C7" w:rsidRDefault="00FF3A44" w:rsidP="000C1668">
      <w:bookmarkStart w:id="16" w:name="P98"/>
      <w:bookmarkEnd w:id="16"/>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lastRenderedPageBreak/>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7" w:name="_Toc134019859"/>
      <w:r w:rsidRPr="00CA6A44">
        <w:t xml:space="preserve">Правовые основания для предоставления </w:t>
      </w:r>
      <w:r w:rsidR="00735775">
        <w:t>Муниципальной услуги</w:t>
      </w:r>
      <w:bookmarkEnd w:id="17"/>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C1668">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3508AF" w:rsidP="00FD34E5">
      <w:pPr>
        <w:pStyle w:val="12"/>
      </w:pPr>
      <w:r w:rsidRPr="003508AF">
        <w:t>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r w:rsidR="00FD34E5">
        <w:t>.</w:t>
      </w:r>
    </w:p>
    <w:p w:rsidR="00FD34E5" w:rsidRPr="00CA6A44" w:rsidRDefault="00FD34E5" w:rsidP="00FD34E5">
      <w:r w:rsidRPr="00CA6A44">
        <w:t xml:space="preserve">- </w:t>
      </w:r>
      <w:r w:rsidR="003508AF" w:rsidRPr="003508AF">
        <w:t>Правила</w:t>
      </w:r>
      <w:r w:rsidR="003508AF">
        <w:t>ми</w:t>
      </w:r>
      <w:r w:rsidR="003508AF" w:rsidRPr="003508AF">
        <w:t xml:space="preserve"> землепользования и застройки городского поселения – город Острогожск Острогожского муниципального района Воронежской области, утвержденные приказом Департамента архитектуры и градостроительства Воронежской области от 01.02.2023 № 45-01-04/60</w:t>
      </w:r>
      <w:r w:rsidRPr="00CA6A44">
        <w:t>;</w:t>
      </w:r>
    </w:p>
    <w:p w:rsidR="004546C7" w:rsidRPr="00CA6A44" w:rsidRDefault="00FF3A44" w:rsidP="000C1668">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3508AF">
        <w:t>городском</w:t>
      </w:r>
      <w:r w:rsidR="003508AF" w:rsidRPr="003508AF">
        <w:t xml:space="preserve"> поселени</w:t>
      </w:r>
      <w:r w:rsidR="003508AF">
        <w:t>и</w:t>
      </w:r>
      <w:r w:rsidR="003508AF" w:rsidRPr="003508AF">
        <w:t xml:space="preserve"> – город Острогожск Острогожского муниципального района Воронежской области</w:t>
      </w:r>
      <w:r w:rsidRPr="00CA6A44">
        <w:t>.</w:t>
      </w:r>
    </w:p>
    <w:p w:rsidR="004546C7" w:rsidRPr="00CA6A44" w:rsidRDefault="004546C7" w:rsidP="00CA6A44">
      <w:pPr>
        <w:rPr>
          <w:rFonts w:cs="Times New Roman"/>
          <w:szCs w:val="28"/>
        </w:rPr>
      </w:pPr>
    </w:p>
    <w:p w:rsidR="004546C7" w:rsidRPr="00CA6A44" w:rsidRDefault="00FF3A44" w:rsidP="000B7BDF">
      <w:pPr>
        <w:pStyle w:val="2"/>
      </w:pPr>
      <w:bookmarkStart w:id="18" w:name="_Toc134019860"/>
      <w:r w:rsidRPr="00CA6A44">
        <w:lastRenderedPageBreak/>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8"/>
    </w:p>
    <w:p w:rsidR="004546C7" w:rsidRPr="00CA6A44" w:rsidRDefault="004546C7" w:rsidP="00CA6A44">
      <w:pPr>
        <w:rPr>
          <w:rFonts w:cs="Times New Roman"/>
          <w:szCs w:val="28"/>
        </w:rPr>
      </w:pPr>
    </w:p>
    <w:p w:rsidR="004546C7" w:rsidRPr="00CA6A44" w:rsidRDefault="00FF3A44" w:rsidP="000C1668">
      <w:bookmarkStart w:id="19" w:name="P119"/>
      <w:bookmarkEnd w:id="19"/>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C1668">
      <w:bookmarkStart w:id="20" w:name="P121"/>
      <w:bookmarkEnd w:id="20"/>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1" w:name="P122"/>
      <w:bookmarkEnd w:id="21"/>
      <w:r w:rsidRPr="00CA6A4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r w:rsidRPr="00CA6A44">
        <w:t>д) технический план объекта индивидуального жилищного строительства или садового дома;</w:t>
      </w:r>
    </w:p>
    <w:p w:rsidR="004546C7" w:rsidRPr="007605B0" w:rsidRDefault="00FF3A44" w:rsidP="00D00C9B">
      <w:pPr>
        <w:rPr>
          <w:color w:val="FF0000"/>
        </w:rPr>
      </w:pPr>
      <w:bookmarkStart w:id="22" w:name="P125"/>
      <w:bookmarkEnd w:id="22"/>
      <w:r w:rsidRPr="00CA6A44">
        <w:t xml:space="preserve">е) заключенное между правообладателями земельного участка соглашение об определении их долей в праве общей долевой собственности </w:t>
      </w:r>
      <w:r w:rsidRPr="00CA6A44">
        <w:lastRenderedPageBreak/>
        <w:t>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Default="00FF3A44" w:rsidP="000C1668">
      <w:bookmarkStart w:id="23" w:name="P129"/>
      <w:bookmarkEnd w:id="23"/>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C1668">
      <w:bookmarkStart w:id="24" w:name="P130"/>
      <w:bookmarkEnd w:id="24"/>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5" w:name="P131"/>
      <w:bookmarkEnd w:id="25"/>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6" w:name="P132"/>
      <w:bookmarkEnd w:id="26"/>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C1668">
      <w:bookmarkStart w:id="27" w:name="P133"/>
      <w:bookmarkEnd w:id="27"/>
      <w:r w:rsidRPr="00CA6A44">
        <w:lastRenderedPageBreak/>
        <w:t>а) в электронной форме посредством Единого портала, регионального портала.</w:t>
      </w:r>
    </w:p>
    <w:p w:rsidR="004546C7" w:rsidRPr="00CA6A44" w:rsidRDefault="00FF3A44" w:rsidP="000C1668">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w:t>
      </w:r>
      <w:r w:rsidRPr="00CA6A44">
        <w:lastRenderedPageBreak/>
        <w:t>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C1668">
      <w:bookmarkStart w:id="28" w:name="P137"/>
      <w:bookmarkEnd w:id="28"/>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3F3A3E" w:rsidRPr="003F3A3E">
        <w:t>городского поселения – город Острогожск Острогожского муниципального района Воронежской области</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29" w:name="_Toc134019861"/>
      <w:r w:rsidRPr="00CA6A44">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9"/>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30" w:name="P143"/>
      <w:bookmarkEnd w:id="30"/>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1" w:name="P144"/>
      <w:bookmarkEnd w:id="31"/>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2" w:name="P145"/>
      <w:bookmarkEnd w:id="32"/>
      <w:r w:rsidRPr="00CA6A44">
        <w:rPr>
          <w:rFonts w:cs="Times New Roman"/>
          <w:szCs w:val="28"/>
        </w:rPr>
        <w:t xml:space="preserve">б) представленные документы утратили силу на день обращения за получением услуги (документ, удостоверяющий личность; документ, </w:t>
      </w:r>
      <w:r w:rsidRPr="00CA6A44">
        <w:rPr>
          <w:rFonts w:cs="Times New Roman"/>
          <w:szCs w:val="28"/>
        </w:rPr>
        <w:lastRenderedPageBreak/>
        <w:t>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3" w:name="P146"/>
      <w:bookmarkEnd w:id="33"/>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4" w:name="P147"/>
      <w:bookmarkEnd w:id="34"/>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5" w:name="P148"/>
      <w:bookmarkEnd w:id="35"/>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6" w:name="P152"/>
      <w:bookmarkEnd w:id="36"/>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CA6A44">
      <w:pPr>
        <w:rPr>
          <w:rFonts w:cs="Times New Roman"/>
          <w:szCs w:val="28"/>
        </w:rPr>
      </w:pPr>
      <w:proofErr w:type="gramStart"/>
      <w:r w:rsidRPr="00CA6A44">
        <w:rPr>
          <w:rFonts w:cs="Times New Roman"/>
          <w:szCs w:val="28"/>
        </w:rPr>
        <w:t>в</w:t>
      </w:r>
      <w:proofErr w:type="gramEnd"/>
      <w:r w:rsidRPr="00CA6A44">
        <w:rPr>
          <w:rFonts w:cs="Times New Roman"/>
          <w:szCs w:val="28"/>
        </w:rPr>
        <w:t>)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CA6A44">
      <w:pPr>
        <w:rPr>
          <w:rFonts w:cs="Times New Roman"/>
          <w:szCs w:val="28"/>
        </w:rPr>
      </w:pPr>
      <w:r w:rsidRPr="00CA6A44">
        <w:rPr>
          <w:rFonts w:cs="Times New Roman"/>
          <w:szCs w:val="28"/>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w:t>
      </w:r>
      <w:r w:rsidRPr="00CA6A44">
        <w:rPr>
          <w:rFonts w:cs="Times New Roman"/>
          <w:szCs w:val="28"/>
        </w:rPr>
        <w:lastRenderedPageBreak/>
        <w:t>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7"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7"/>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C1668">
      <w:bookmarkStart w:id="38" w:name="P163"/>
      <w:bookmarkEnd w:id="38"/>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C1668">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C1668">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CA6A44">
        <w:lastRenderedPageBreak/>
        <w:t>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39" w:name="P168"/>
      <w:bookmarkEnd w:id="39"/>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40" w:name="P169"/>
      <w:bookmarkEnd w:id="40"/>
      <w:r w:rsidRPr="00CA6A44">
        <w:t>б) отсутствие опечаток и ошибок в уведомлении о соответствии.</w:t>
      </w:r>
    </w:p>
    <w:p w:rsidR="004546C7" w:rsidRPr="00CA6A44" w:rsidRDefault="00FF3A44" w:rsidP="000C1668">
      <w:bookmarkStart w:id="41" w:name="P170"/>
      <w:bookmarkEnd w:id="41"/>
      <w:r w:rsidRPr="00CA6A44">
        <w:t>2.17.3. Исчерпывающий перечень оснований для отказа в выдаче дубликата уведомления о соответствии:</w:t>
      </w:r>
    </w:p>
    <w:p w:rsidR="004546C7" w:rsidRPr="00CA6A44" w:rsidRDefault="00FF3A44" w:rsidP="000C1668">
      <w:r w:rsidRPr="00CA6A44">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2"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2"/>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CA6A44">
      <w:pPr>
        <w:rPr>
          <w:rFonts w:cs="Times New Roman"/>
          <w:szCs w:val="28"/>
        </w:rPr>
      </w:pPr>
    </w:p>
    <w:p w:rsidR="004546C7" w:rsidRPr="00CA6A44" w:rsidRDefault="00FF3A44" w:rsidP="000C1668">
      <w:pPr>
        <w:pStyle w:val="2"/>
      </w:pPr>
      <w:bookmarkStart w:id="43"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3"/>
    </w:p>
    <w:p w:rsidR="004546C7" w:rsidRPr="00CA6A44" w:rsidRDefault="004546C7" w:rsidP="00CA6A44">
      <w:pPr>
        <w:rPr>
          <w:rFonts w:cs="Times New Roman"/>
          <w:szCs w:val="28"/>
        </w:rPr>
      </w:pPr>
    </w:p>
    <w:p w:rsidR="004546C7" w:rsidRPr="00CA6A44" w:rsidRDefault="00FF3A44" w:rsidP="000C1668">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4" w:name="_Toc133243633"/>
      <w:r>
        <w:t>Срок регистрации запроса заявителя о предоставлении Муниципальной услуги</w:t>
      </w:r>
      <w:bookmarkEnd w:id="44"/>
    </w:p>
    <w:p w:rsidR="004546C7" w:rsidRPr="00CA6A44" w:rsidRDefault="004546C7" w:rsidP="00CA6A44">
      <w:pPr>
        <w:rPr>
          <w:rFonts w:cs="Times New Roman"/>
          <w:szCs w:val="28"/>
        </w:rPr>
      </w:pPr>
    </w:p>
    <w:p w:rsidR="004546C7" w:rsidRPr="00CA6A44" w:rsidRDefault="00FF3A44" w:rsidP="000C1668">
      <w:bookmarkStart w:id="45" w:name="P187"/>
      <w:bookmarkEnd w:id="45"/>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w:t>
      </w:r>
      <w:r w:rsidRPr="00CA6A44">
        <w:lastRenderedPageBreak/>
        <w:t xml:space="preserve">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6" w:name="_Toc134019866"/>
      <w:r w:rsidRPr="00CA6A44">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6"/>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8A2CC4">
      <w:pPr>
        <w:pStyle w:val="12"/>
      </w:pPr>
      <w:r>
        <w:t>наименование;</w:t>
      </w:r>
    </w:p>
    <w:p w:rsidR="008A2CC4" w:rsidRDefault="008A2CC4" w:rsidP="008A2CC4">
      <w:pPr>
        <w:pStyle w:val="12"/>
      </w:pPr>
      <w:r>
        <w:t>местонахождение и юридический адрес;</w:t>
      </w:r>
    </w:p>
    <w:p w:rsidR="008A2CC4" w:rsidRDefault="008A2CC4" w:rsidP="008A2CC4">
      <w:pPr>
        <w:pStyle w:val="12"/>
      </w:pPr>
      <w:r>
        <w:t>режим работы;</w:t>
      </w:r>
    </w:p>
    <w:p w:rsidR="008A2CC4" w:rsidRDefault="008A2CC4" w:rsidP="008A2CC4">
      <w:pPr>
        <w:pStyle w:val="12"/>
      </w:pPr>
      <w:r>
        <w:t>график приема;</w:t>
      </w:r>
    </w:p>
    <w:p w:rsidR="008A2CC4" w:rsidRDefault="008A2CC4" w:rsidP="008A2CC4">
      <w:pPr>
        <w:pStyle w:val="12"/>
      </w:pPr>
      <w:r>
        <w:lastRenderedPageBreak/>
        <w:t>номера телефонов для справок.</w:t>
      </w:r>
    </w:p>
    <w:p w:rsidR="008A2CC4" w:rsidRDefault="008A2CC4" w:rsidP="008A2CC4">
      <w:pPr>
        <w:pStyle w:val="12"/>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8A2CC4">
      <w:pPr>
        <w:pStyle w:val="12"/>
      </w:pPr>
      <w:r>
        <w:t>Помещения, в которых предоставляется</w:t>
      </w:r>
      <w:r w:rsidRPr="001E3368">
        <w:t xml:space="preserve"> </w:t>
      </w:r>
      <w:r>
        <w:t>Муниципальная услуга, оснащаются:</w:t>
      </w:r>
    </w:p>
    <w:p w:rsidR="008A2CC4" w:rsidRDefault="008A2CC4" w:rsidP="008A2CC4">
      <w:pPr>
        <w:pStyle w:val="12"/>
      </w:pPr>
      <w:r>
        <w:t>противопожарной системой и средствами пожаротушения;</w:t>
      </w:r>
    </w:p>
    <w:p w:rsidR="008A2CC4" w:rsidRDefault="008A2CC4" w:rsidP="008A2CC4">
      <w:pPr>
        <w:pStyle w:val="12"/>
      </w:pPr>
      <w:r>
        <w:t>системой оповещения о возникновении чрезвычайной ситуации;</w:t>
      </w:r>
    </w:p>
    <w:p w:rsidR="008A2CC4" w:rsidRDefault="008A2CC4" w:rsidP="008A2CC4">
      <w:pPr>
        <w:pStyle w:val="12"/>
      </w:pPr>
      <w:r>
        <w:t>средствами оказания первой медицинской помощи;</w:t>
      </w:r>
    </w:p>
    <w:p w:rsidR="008A2CC4" w:rsidRDefault="008A2CC4" w:rsidP="008A2CC4">
      <w:pPr>
        <w:pStyle w:val="12"/>
      </w:pPr>
      <w:r>
        <w:t>туалетными комнатами для посетителей.</w:t>
      </w:r>
    </w:p>
    <w:p w:rsidR="008A2CC4" w:rsidRDefault="008A2CC4" w:rsidP="008A2CC4">
      <w:pPr>
        <w:pStyle w:val="1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8A2CC4">
      <w:pPr>
        <w:pStyle w:val="12"/>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t>Места приема заявителей оборудуются информационными табличками (вывесками) с указанием:</w:t>
      </w:r>
    </w:p>
    <w:p w:rsidR="008A2CC4" w:rsidRDefault="008A2CC4" w:rsidP="008A2CC4">
      <w:pPr>
        <w:pStyle w:val="12"/>
      </w:pPr>
      <w:r>
        <w:t>номера кабинета и наименования отдела;</w:t>
      </w:r>
    </w:p>
    <w:p w:rsidR="008A2CC4" w:rsidRDefault="008A2CC4" w:rsidP="008A2CC4">
      <w:pPr>
        <w:pStyle w:val="12"/>
      </w:pPr>
      <w:r>
        <w:t>фамилии, имени и отчества (последнее - при наличии), должности ответственного лица за прием документов;</w:t>
      </w:r>
    </w:p>
    <w:p w:rsidR="008A2CC4" w:rsidRDefault="008A2CC4" w:rsidP="008A2CC4">
      <w:pPr>
        <w:pStyle w:val="12"/>
      </w:pPr>
      <w:r>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7" w:name="_Toc134019867"/>
      <w:r w:rsidRPr="00CA6A44">
        <w:t xml:space="preserve">Показатели качества </w:t>
      </w:r>
      <w:r w:rsidR="00C75D3C" w:rsidRPr="00CA6A44">
        <w:t xml:space="preserve">и доступности </w:t>
      </w:r>
      <w:r w:rsidR="00735775">
        <w:t>Муниципальной услуги</w:t>
      </w:r>
      <w:bookmarkEnd w:id="47"/>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8A2CC4">
      <w:pPr>
        <w:pStyle w:val="12"/>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8A2CC4">
      <w:pPr>
        <w:pStyle w:val="12"/>
      </w:pPr>
      <w:r>
        <w:t xml:space="preserve">возможность получения заявителем уведомлений о предоставлении </w:t>
      </w:r>
      <w:r>
        <w:lastRenderedPageBreak/>
        <w:t>услуги с помощью Единого портала, регионального портала;</w:t>
      </w:r>
    </w:p>
    <w:p w:rsidR="008A2CC4" w:rsidRDefault="008A2CC4" w:rsidP="008A2CC4">
      <w:pPr>
        <w:pStyle w:val="12"/>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8A2CC4" w:rsidP="008A2CC4">
      <w:pPr>
        <w:pStyle w:val="12"/>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8A2CC4">
      <w:pPr>
        <w:pStyle w:val="12"/>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8A2CC4">
      <w:pPr>
        <w:pStyle w:val="12"/>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8A2CC4">
      <w:pPr>
        <w:pStyle w:val="12"/>
      </w:pPr>
      <w:r>
        <w:t>отсутствие нарушений установленных сроков в процессе предоставления Муниципальной услуги;</w:t>
      </w:r>
    </w:p>
    <w:p w:rsidR="008A2CC4" w:rsidRDefault="008A2CC4" w:rsidP="008A2CC4">
      <w:pPr>
        <w:pStyle w:val="12"/>
      </w:pPr>
      <w:proofErr w:type="gramStart"/>
      <w:r>
        <w:t>отсутствие</w:t>
      </w:r>
      <w:proofErr w:type="gramEnd"/>
      <w:r>
        <w:t xml:space="preserve">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8" w:name="_Toc133243632"/>
      <w:bookmarkStart w:id="49"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450DDF">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lastRenderedPageBreak/>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29712A">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0"/>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4546C7" w:rsidRPr="00CA6A44" w:rsidRDefault="00FF3A44" w:rsidP="000C1668">
      <w:pPr>
        <w:pStyle w:val="1"/>
      </w:pPr>
      <w:bookmarkStart w:id="51" w:name="_Toc134019870"/>
      <w:bookmarkEnd w:id="49"/>
      <w:r w:rsidRPr="00CA6A44">
        <w:t xml:space="preserve">Раздел </w:t>
      </w:r>
      <w:r w:rsidR="00450DDF">
        <w:rPr>
          <w:lang w:val="en-US"/>
        </w:rPr>
        <w:t>III</w:t>
      </w:r>
      <w:r w:rsidRPr="00CA6A44">
        <w:t xml:space="preserve">. </w:t>
      </w:r>
      <w:bookmarkEnd w:id="51"/>
      <w:r w:rsidR="00450DDF" w:rsidRPr="00060100">
        <w:t>Состав, последовательность и сроки выполнения административных процедур</w:t>
      </w:r>
    </w:p>
    <w:p w:rsidR="00450DDF" w:rsidRDefault="00450DDF" w:rsidP="00450DDF">
      <w:pPr>
        <w:pStyle w:val="2"/>
      </w:pPr>
      <w:bookmarkStart w:id="52" w:name="_Toc134019776"/>
      <w:r>
        <w:t xml:space="preserve">Подразделы, содержащие описание вариантов предоставления Муниципальной услуги </w:t>
      </w:r>
    </w:p>
    <w:bookmarkEnd w:id="52"/>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 xml:space="preserve">ошибок в уведомлении о соответствии построенных или реконструированных объекта </w:t>
      </w:r>
      <w:r w:rsidRPr="00CA6A44">
        <w:lastRenderedPageBreak/>
        <w:t>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3" w:name="_Toc134019872"/>
      <w:r w:rsidRPr="00CA6A44">
        <w:t>Описание административной процедуры профилирования заявителя</w:t>
      </w:r>
      <w:bookmarkEnd w:id="53"/>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4"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4"/>
    </w:p>
    <w:p w:rsidR="004546C7" w:rsidRPr="00CA6A44" w:rsidRDefault="004546C7" w:rsidP="00CA6A44">
      <w:pPr>
        <w:rPr>
          <w:rFonts w:cs="Times New Roman"/>
          <w:szCs w:val="28"/>
        </w:rPr>
      </w:pPr>
    </w:p>
    <w:p w:rsidR="004546C7" w:rsidRPr="00AC1C5D" w:rsidRDefault="00AC1C5D" w:rsidP="000C1668">
      <w:pPr>
        <w:pStyle w:val="2"/>
      </w:pPr>
      <w:bookmarkStart w:id="55" w:name="_Toc134019874"/>
      <w:r w:rsidRPr="00AC1C5D">
        <w:t xml:space="preserve">3.3. </w:t>
      </w:r>
      <w:r w:rsidRPr="00CA6A44">
        <w:t>Вариант 1</w:t>
      </w:r>
      <w:bookmarkEnd w:id="55"/>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 xml:space="preserve">Административного регламента, </w:t>
      </w:r>
      <w:r w:rsidRPr="00CA6A44">
        <w:lastRenderedPageBreak/>
        <w:t>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 xml:space="preserve">3.11. Для приема уведомления об окончании строительства в электронной форме с использованием Единого портала, регионального </w:t>
      </w:r>
      <w:r w:rsidRPr="00CA6A44">
        <w:lastRenderedPageBreak/>
        <w:t>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F33434">
      <w:r w:rsidRPr="00CA6A44">
        <w:t xml:space="preserve">3.16. Специалист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6" w:name="P365"/>
      <w:bookmarkEnd w:id="56"/>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7" w:name="P366"/>
      <w:bookmarkEnd w:id="57"/>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F33434">
      <w:bookmarkStart w:id="58" w:name="P367"/>
      <w:bookmarkEnd w:id="58"/>
      <w:r w:rsidRPr="00CA6A44">
        <w:lastRenderedPageBreak/>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t>- наименование органа или организации, в адрес которых направляется межведомственный запрос;</w:t>
      </w:r>
    </w:p>
    <w:p w:rsidR="004546C7" w:rsidRPr="00CA6A44" w:rsidRDefault="00FF3A44" w:rsidP="00F33434">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3.19. Межведомственное информационное взаимодействие может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F33434">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CA6A44">
      <w:pPr>
        <w:rPr>
          <w:rFonts w:cs="Times New Roman"/>
          <w:szCs w:val="28"/>
        </w:rPr>
      </w:pPr>
    </w:p>
    <w:p w:rsidR="004546C7" w:rsidRPr="00CA6A44" w:rsidRDefault="00FF3A44" w:rsidP="00F33434">
      <w:pPr>
        <w:pStyle w:val="2"/>
      </w:pPr>
      <w:bookmarkStart w:id="59" w:name="_Toc134019878"/>
      <w:r w:rsidRPr="00CA6A44">
        <w:lastRenderedPageBreak/>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9"/>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t>3.24. Должностное лицо ответственного структурного подразделения:</w:t>
      </w:r>
    </w:p>
    <w:p w:rsidR="004546C7" w:rsidRPr="00CA6A44" w:rsidRDefault="00FF3A44" w:rsidP="00F33434">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w:t>
      </w:r>
      <w:r w:rsidRPr="00CA6A44">
        <w:lastRenderedPageBreak/>
        <w:t>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F33434">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lastRenderedPageBreak/>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xml:space="preserve">. При подаче уведомления об окончании строительства и документов в ходе личного приема, посредством почтового отправления </w:t>
      </w:r>
      <w:r w:rsidRPr="00CA6A44">
        <w:lastRenderedPageBreak/>
        <w:t>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F33434">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60"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60"/>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CA6A44" w:rsidRDefault="00FF3A44" w:rsidP="00F33434">
      <w:r w:rsidRPr="00CA6A44">
        <w:lastRenderedPageBreak/>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F33434">
        <w:t xml:space="preserve">дминистрации </w:t>
      </w:r>
      <w:r w:rsidR="003F3A3E" w:rsidRPr="003F3A3E">
        <w:t>городского поселения – город Острогожск Острогожского муниципального района Воронежской области</w:t>
      </w:r>
      <w:r w:rsidRPr="00CA6A44">
        <w:t>.</w:t>
      </w:r>
    </w:p>
    <w:p w:rsidR="004546C7" w:rsidRPr="00CA6A44" w:rsidRDefault="00FF3A44" w:rsidP="00F33434">
      <w:r w:rsidRPr="00CA6A44">
        <w:t xml:space="preserve">3.38. Должностным лицом, ответственным за выполнение административной процедуры, является специалист </w:t>
      </w:r>
      <w:r w:rsidR="00FD34E5">
        <w:t>Администрации</w:t>
      </w:r>
      <w:r w:rsidRPr="00CA6A44">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1" w:name="_Toc134019880"/>
      <w:r w:rsidRPr="00CA6A44">
        <w:t>Получение дополнительных сведений от заявителя</w:t>
      </w:r>
      <w:bookmarkEnd w:id="61"/>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2" w:name="_Toc134019881"/>
      <w:r w:rsidRPr="00CA6A44">
        <w:t xml:space="preserve">Максимальный срок предоставления </w:t>
      </w:r>
      <w:r w:rsidR="00735775">
        <w:t>Муниципальной услуги</w:t>
      </w:r>
      <w:bookmarkEnd w:id="62"/>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3" w:name="_Toc134019882"/>
      <w:r>
        <w:lastRenderedPageBreak/>
        <w:t xml:space="preserve">3.45. </w:t>
      </w:r>
      <w:r w:rsidRPr="00CA6A44">
        <w:t>Вариант 2</w:t>
      </w:r>
      <w:bookmarkEnd w:id="63"/>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33434">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w:t>
      </w:r>
      <w:r w:rsidR="00FD34E5">
        <w:t>Администрации</w:t>
      </w:r>
      <w:r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lastRenderedPageBreak/>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4"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4"/>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33434">
      <w:r w:rsidRPr="00CA6A44">
        <w:t>3.58. По результатам проверки заявления о вы</w:t>
      </w:r>
      <w:r w:rsidR="003F3A3E">
        <w:t xml:space="preserve">даче дубликата специалист </w:t>
      </w:r>
      <w:r w:rsidR="00FD34E5">
        <w:t>Администрации</w:t>
      </w:r>
      <w:r w:rsidRPr="00CA6A44">
        <w:t xml:space="preserve"> подготавливает проект соответствующего решения.</w:t>
      </w:r>
    </w:p>
    <w:p w:rsidR="004546C7" w:rsidRPr="00CA6A44" w:rsidRDefault="00FF3A44" w:rsidP="00F33434">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F33434">
      <w:r w:rsidRPr="00CA6A44">
        <w:lastRenderedPageBreak/>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5"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5"/>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81767A">
      <w:r w:rsidRPr="00CA6A44">
        <w:t xml:space="preserve">3.70. Должностным лицом, ответственным за выполнение административной процедуры, является специалист </w:t>
      </w:r>
      <w:r w:rsidR="00FD34E5">
        <w:t>Администрации</w:t>
      </w:r>
      <w:r w:rsidRPr="00CA6A44">
        <w:t>.</w:t>
      </w:r>
    </w:p>
    <w:p w:rsidR="004546C7" w:rsidRPr="00CA6A44" w:rsidRDefault="00FF3A44" w:rsidP="0081767A">
      <w:r w:rsidRPr="00CA6A44">
        <w:lastRenderedPageBreak/>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81767A">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6" w:name="_Toc134019888"/>
      <w:r w:rsidRPr="00CA6A44">
        <w:t>Получение дополнительных сведений от заявителя</w:t>
      </w:r>
      <w:bookmarkEnd w:id="66"/>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7" w:name="_Toc134019889"/>
      <w:r w:rsidRPr="00CA6A44">
        <w:t xml:space="preserve">Максимальный срок предоставления </w:t>
      </w:r>
      <w:r w:rsidR="00735775">
        <w:t>Муниципальной услуги</w:t>
      </w:r>
      <w:bookmarkEnd w:id="67"/>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8" w:name="_Toc134019890"/>
      <w:r>
        <w:t xml:space="preserve">3.77. </w:t>
      </w:r>
      <w:r w:rsidRPr="00CA6A44">
        <w:t>Вариант 3</w:t>
      </w:r>
      <w:bookmarkEnd w:id="68"/>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 xml:space="preserve">4 к </w:t>
      </w:r>
      <w:r w:rsidRPr="00CA6A44">
        <w:lastRenderedPageBreak/>
        <w:t>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81767A">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69"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9"/>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81767A">
      <w:r w:rsidRPr="00CA6A44">
        <w:t xml:space="preserve">3.92. По результатам проверки заявления об исправлении допущенных опечаток и ошибок специалист </w:t>
      </w:r>
      <w:r w:rsidR="00FD34E5">
        <w:t>Администрации</w:t>
      </w:r>
      <w:r w:rsidRPr="00CA6A44">
        <w:t xml:space="preserve"> подготавливает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81767A">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4E5">
        <w:t>Администрации</w:t>
      </w:r>
      <w:r w:rsidRPr="00CA6A44">
        <w:t>.</w:t>
      </w:r>
    </w:p>
    <w:p w:rsidR="004546C7" w:rsidRPr="00CA6A44" w:rsidRDefault="00FF3A44" w:rsidP="0081767A">
      <w:r w:rsidRPr="00CA6A44">
        <w:lastRenderedPageBreak/>
        <w:t xml:space="preserve">3.95. Решение, принимаемое </w:t>
      </w:r>
      <w:r w:rsidR="0081767A">
        <w:t xml:space="preserve">главой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81767A">
      <w:r w:rsidRPr="00CA6A44">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81767A">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70"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70"/>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lastRenderedPageBreak/>
        <w:t xml:space="preserve">3.103. Должностным лицом, ответственным за выполнение административной процедуры, является специалист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1" w:name="_Toc134019896"/>
      <w:r w:rsidRPr="00CA6A44">
        <w:t>Получение дополнительных сведений от заявителя</w:t>
      </w:r>
      <w:bookmarkEnd w:id="71"/>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2" w:name="_Toc134019897"/>
      <w:r w:rsidRPr="00CA6A44">
        <w:t xml:space="preserve">Максимальный срок предоставления </w:t>
      </w:r>
      <w:r w:rsidR="00735775">
        <w:t>Муниципальной услуги</w:t>
      </w:r>
      <w:bookmarkEnd w:id="72"/>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AC1C5D">
      <w:pPr>
        <w:pStyle w:val="1"/>
      </w:pPr>
      <w:bookmarkStart w:id="73" w:name="_Toc134019817"/>
      <w:r w:rsidRPr="00D11FCD">
        <w:lastRenderedPageBreak/>
        <w:t>Раздел IV. Формы контроля за исполнением административного</w:t>
      </w:r>
      <w:r>
        <w:t xml:space="preserve"> р</w:t>
      </w:r>
      <w:r w:rsidRPr="00D11FCD">
        <w:t>егламента</w:t>
      </w:r>
      <w:bookmarkEnd w:id="73"/>
    </w:p>
    <w:p w:rsidR="00AC1C5D" w:rsidRPr="00D11FCD" w:rsidRDefault="00AC1C5D" w:rsidP="00AC1C5D">
      <w:pPr>
        <w:pStyle w:val="2"/>
      </w:pPr>
      <w:bookmarkStart w:id="7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4"/>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главой администрации</w:t>
      </w:r>
      <w:r w:rsidR="003F3A3E">
        <w:t xml:space="preserve"> </w:t>
      </w:r>
      <w:r w:rsidR="003F3A3E" w:rsidRPr="003F3A3E">
        <w:t>городского поселения – город Острогожск Острогожского муниципального района Воронежской области</w:t>
      </w:r>
      <w:r w:rsidRPr="00D11FCD">
        <w:t xml:space="preserve"> - начальником уполномоченного органа.</w:t>
      </w:r>
    </w:p>
    <w:p w:rsidR="00AC1C5D" w:rsidRPr="00D11FCD" w:rsidRDefault="00AC1C5D" w:rsidP="00AC1C5D">
      <w:pPr>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5"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3F3A3E" w:rsidRPr="003F3A3E">
        <w:t>городского поселения – город Острогожск Острогожского муниципального района Воронежской области</w:t>
      </w:r>
      <w:r w:rsidRPr="00D11FCD">
        <w:t>. 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3F3A3E" w:rsidRPr="003F3A3E">
        <w:t>городского поселения – город Острогожск Острогожского муниципального района Воронежской области</w:t>
      </w:r>
      <w:r w:rsidRPr="00D11FCD">
        <w:t>;</w:t>
      </w:r>
    </w:p>
    <w:p w:rsidR="00AC1C5D" w:rsidRPr="00D11FCD" w:rsidRDefault="00AC1C5D" w:rsidP="00AC1C5D">
      <w:pPr>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3F3A3E" w:rsidRPr="003F3A3E">
        <w:t>городского поселения – город Острогожск Острогожского муниципального района Воронежской области</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ind w:firstLine="567"/>
      </w:pPr>
      <w:r w:rsidRPr="00D11FCD">
        <w:t xml:space="preserve">По результатам проверок </w:t>
      </w:r>
      <w:r>
        <w:t xml:space="preserve">глава </w:t>
      </w:r>
      <w:r w:rsidR="003F3A3E">
        <w:t>администрации</w:t>
      </w:r>
      <w:r w:rsidRPr="00D11FCD">
        <w:t xml:space="preserve"> - начальник уполномоченного органа дает указания начальнику отдела уполномоченного органа по устранению выявленных нарушений и контролирует их исполнение.</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7"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7"/>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lastRenderedPageBreak/>
        <w:t xml:space="preserve">4.6. </w:t>
      </w:r>
      <w:r>
        <w:t xml:space="preserve">Глава администрации </w:t>
      </w:r>
      <w:r w:rsidRPr="00D11FCD">
        <w:t xml:space="preserve">- начальник уполномоченного органа, начальник и специалисты </w:t>
      </w:r>
      <w:r w:rsidR="007A0ABC">
        <w:t>администрации</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и действий (бездействия) органа, предоставляющего</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муниципальную услугу, МФЦ, организаций, указанных в части</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работников</w:t>
      </w:r>
      <w:r w:rsidRPr="00CD7776">
        <w:rPr>
          <w:rFonts w:cs="Times New Roman"/>
          <w:b/>
          <w:szCs w:val="28"/>
        </w:rPr>
        <w:t xml:space="preserve"> </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9"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 xml:space="preserve">5.2. Заявитель может обратиться с жалобой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r w:rsidRPr="00CD7776">
        <w:rPr>
          <w:rFonts w:cs="Times New Roman"/>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r w:rsidRPr="00CD7776">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D7776">
        <w:rPr>
          <w:rFonts w:cs="Times New Roman"/>
          <w:szCs w:val="28"/>
        </w:rPr>
        <w:lastRenderedPageBreak/>
        <w:t xml:space="preserve">муниципальной услуги, за исключением случаев, предусмотренных </w:t>
      </w:r>
      <w:hyperlink r:id="rId14"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CD7776">
        <w:rPr>
          <w:rFonts w:cs="Times New Roman"/>
          <w:szCs w:val="28"/>
        </w:rPr>
        <w:lastRenderedPageBreak/>
        <w:t xml:space="preserve">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CD7776" w:rsidRDefault="00DC7584" w:rsidP="00DC7584">
      <w:pPr>
        <w:ind w:firstLine="540"/>
        <w:rPr>
          <w:rFonts w:cs="Times New Roman"/>
          <w:szCs w:val="28"/>
        </w:rPr>
      </w:pPr>
      <w:r w:rsidRPr="00CD7776">
        <w:rPr>
          <w:rFonts w:cs="Times New Roman"/>
          <w:szCs w:val="28"/>
        </w:rPr>
        <w:t xml:space="preserve">Глава Администрации (заместитель главы Администрации) 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8" w:name="p39"/>
      <w:bookmarkEnd w:id="78"/>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DC7584">
      <w:pPr>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DC7584">
      <w:pPr>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CD7776" w:rsidRDefault="00DC7584" w:rsidP="00DC7584">
      <w:pPr>
        <w:ind w:firstLine="540"/>
        <w:rPr>
          <w:rFonts w:cs="Times New Roman"/>
          <w:szCs w:val="28"/>
        </w:rPr>
      </w:pPr>
      <w:bookmarkStart w:id="79" w:name="p43"/>
      <w:bookmarkEnd w:id="79"/>
      <w:r w:rsidRPr="00CD7776">
        <w:rPr>
          <w:rFonts w:cs="Times New Roman"/>
          <w:szCs w:val="28"/>
        </w:rPr>
        <w:t xml:space="preserve">5.11. Не позднее 1 рабочего дня, следующего за днем принятия решения, указанного в </w:t>
      </w:r>
      <w:hyperlink r:id="rId16"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w:t>
      </w:r>
      <w:r w:rsidRPr="00CD7776">
        <w:rPr>
          <w:rFonts w:cs="Times New Roman"/>
          <w:szCs w:val="28"/>
        </w:rPr>
        <w:lastRenderedPageBreak/>
        <w:t xml:space="preserve">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17"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18"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80" w:name="_Toc134019825"/>
      <w:r w:rsidRPr="00CD7776">
        <w:rPr>
          <w:szCs w:val="28"/>
        </w:rPr>
        <w:t>Перечень нормативных правовых актов, регулирующих порядок</w:t>
      </w:r>
      <w:bookmarkEnd w:id="80"/>
    </w:p>
    <w:p w:rsidR="00DC7584" w:rsidRPr="00CD7776" w:rsidRDefault="00DC7584" w:rsidP="00DC7584">
      <w:pPr>
        <w:pStyle w:val="2"/>
        <w:rPr>
          <w:szCs w:val="28"/>
        </w:rPr>
      </w:pPr>
      <w:bookmarkStart w:id="81" w:name="_Toc134019826"/>
      <w:r w:rsidRPr="00CD7776">
        <w:rPr>
          <w:szCs w:val="28"/>
        </w:rPr>
        <w:t>досудебного (внесудебного) обжалования действий</w:t>
      </w:r>
      <w:bookmarkEnd w:id="81"/>
    </w:p>
    <w:p w:rsidR="00DC7584" w:rsidRPr="00CD7776" w:rsidRDefault="00DC7584" w:rsidP="00DC7584">
      <w:pPr>
        <w:pStyle w:val="2"/>
        <w:rPr>
          <w:szCs w:val="28"/>
        </w:rPr>
      </w:pPr>
      <w:bookmarkStart w:id="82" w:name="_Toc134019827"/>
      <w:r w:rsidRPr="00CD7776">
        <w:rPr>
          <w:szCs w:val="28"/>
        </w:rPr>
        <w:t>(бездействия) и (или) решений, принятых (осуществленных)</w:t>
      </w:r>
      <w:bookmarkEnd w:id="82"/>
    </w:p>
    <w:p w:rsidR="00DC7584" w:rsidRPr="00CD7776" w:rsidRDefault="00DC7584" w:rsidP="00DC7584">
      <w:pPr>
        <w:pStyle w:val="2"/>
        <w:rPr>
          <w:szCs w:val="28"/>
        </w:rPr>
      </w:pPr>
      <w:bookmarkStart w:id="83" w:name="_Toc134019828"/>
      <w:r w:rsidRPr="00CD7776">
        <w:rPr>
          <w:szCs w:val="28"/>
        </w:rPr>
        <w:t>в ходе предоставления муниципальной услуги</w:t>
      </w:r>
      <w:bookmarkEnd w:id="83"/>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7A0ABC" w:rsidRDefault="007A0ABC" w:rsidP="00A34859">
      <w:pPr>
        <w:rPr>
          <w:szCs w:val="28"/>
        </w:rPr>
      </w:pPr>
    </w:p>
    <w:p w:rsidR="007A0ABC" w:rsidRDefault="007A0ABC" w:rsidP="00A34859">
      <w:pPr>
        <w:rPr>
          <w:szCs w:val="28"/>
        </w:rPr>
      </w:pPr>
    </w:p>
    <w:p w:rsidR="007A0ABC" w:rsidRDefault="007A0ABC" w:rsidP="00A34859">
      <w:pPr>
        <w:rPr>
          <w:szCs w:val="28"/>
        </w:rPr>
      </w:pPr>
    </w:p>
    <w:p w:rsidR="007A0ABC" w:rsidRDefault="007A0ABC" w:rsidP="00A34859">
      <w:pPr>
        <w:rPr>
          <w:szCs w:val="28"/>
        </w:rPr>
      </w:pPr>
    </w:p>
    <w:p w:rsidR="004546C7" w:rsidRPr="00CA6A44" w:rsidRDefault="00FF3A44" w:rsidP="00B64079">
      <w:pPr>
        <w:pStyle w:val="1"/>
        <w:jc w:val="right"/>
      </w:pPr>
      <w:bookmarkStart w:id="84" w:name="_Toc134019912"/>
      <w:r w:rsidRPr="00CA6A44">
        <w:lastRenderedPageBreak/>
        <w:t>Приложение 1</w:t>
      </w:r>
      <w:bookmarkEnd w:id="8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 xml:space="preserve">За предоставлением </w:t>
            </w:r>
            <w:r w:rsidRPr="00B96612">
              <w:rPr>
                <w:rFonts w:ascii="Times New Roman" w:hAnsi="Times New Roman"/>
                <w:sz w:val="28"/>
                <w:szCs w:val="28"/>
              </w:rPr>
              <w:lastRenderedPageBreak/>
              <w:t>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lastRenderedPageBreak/>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Pr="00CA6A44" w:rsidRDefault="009B6436" w:rsidP="00CA6A44"/>
    <w:p w:rsidR="004546C7" w:rsidRPr="00CA6A44" w:rsidRDefault="00FF3A44" w:rsidP="00B64079">
      <w:pPr>
        <w:pStyle w:val="1"/>
        <w:jc w:val="right"/>
      </w:pPr>
      <w:bookmarkStart w:id="86" w:name="_Toc134019913"/>
      <w:r w:rsidRPr="00CA6A44">
        <w:lastRenderedPageBreak/>
        <w:t>Приложение 2</w:t>
      </w:r>
      <w:bookmarkEnd w:id="8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w:t>
            </w:r>
            <w:proofErr w:type="gramStart"/>
            <w:r w:rsidRPr="00CA6A44">
              <w:t>фамилия</w:t>
            </w:r>
            <w:proofErr w:type="gramEnd"/>
            <w:r w:rsidRPr="00CA6A44">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7A0ABC">
            <w:pPr>
              <w:ind w:firstLine="0"/>
            </w:pPr>
            <w:r w:rsidRPr="00CA6A44">
              <w:t>На N</w:t>
            </w:r>
          </w:p>
        </w:tc>
        <w:tc>
          <w:tcPr>
            <w:tcW w:w="554" w:type="dxa"/>
            <w:tcBorders>
              <w:top w:val="nil"/>
              <w:left w:val="nil"/>
              <w:bottom w:val="nil"/>
              <w:right w:val="nil"/>
            </w:tcBorders>
          </w:tcPr>
          <w:p w:rsidR="004546C7" w:rsidRPr="00CA6A44" w:rsidRDefault="00FF3A44" w:rsidP="00CA6A44">
            <w:proofErr w:type="gramStart"/>
            <w:r w:rsidRPr="00CA6A44">
              <w:t>от</w:t>
            </w:r>
            <w:proofErr w:type="gramEnd"/>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7" w:name="P804"/>
      <w:bookmarkEnd w:id="87"/>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FF3A44" w:rsidP="00B64079">
      <w:r w:rsidRPr="00CA6A44">
        <w:t xml:space="preserve">          </w:t>
      </w:r>
      <w:r w:rsidR="00B64079">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садового    дома    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lastRenderedPageBreak/>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приеме документов</w:t>
            </w:r>
          </w:p>
        </w:tc>
      </w:tr>
      <w:tr w:rsidR="00CA6A44" w:rsidRPr="00CA6A44">
        <w:tc>
          <w:tcPr>
            <w:tcW w:w="1454" w:type="dxa"/>
          </w:tcPr>
          <w:p w:rsidR="004546C7" w:rsidRPr="00CA6A44" w:rsidRDefault="00FF3A44" w:rsidP="00CA6A44">
            <w:r w:rsidRPr="00CA6A44">
              <w:t>подпункт "а" пункта 2.12</w:t>
            </w:r>
          </w:p>
        </w:tc>
        <w:tc>
          <w:tcPr>
            <w:tcW w:w="3854"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CA6A44">
            <w:r w:rsidRPr="00CA6A44">
              <w:t>подпункт "б" пункта 2.12</w:t>
            </w:r>
          </w:p>
        </w:tc>
        <w:tc>
          <w:tcPr>
            <w:tcW w:w="3854"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CA6A44">
            <w:r w:rsidRPr="00CA6A44">
              <w:t>подпункт "в" пункта 2.12</w:t>
            </w:r>
          </w:p>
        </w:tc>
        <w:tc>
          <w:tcPr>
            <w:tcW w:w="3854" w:type="dxa"/>
          </w:tcPr>
          <w:p w:rsidR="004546C7" w:rsidRPr="00CA6A44" w:rsidRDefault="00FF3A44" w:rsidP="00CA6A44">
            <w:r w:rsidRPr="00CA6A44">
              <w:t>представленные документы содержат подчистки и исправления текста</w:t>
            </w:r>
          </w:p>
        </w:tc>
        <w:tc>
          <w:tcPr>
            <w:tcW w:w="3742"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CA6A44">
            <w:r w:rsidRPr="00CA6A44">
              <w:t>подпункт "г" пункта 2.12</w:t>
            </w:r>
          </w:p>
        </w:tc>
        <w:tc>
          <w:tcPr>
            <w:tcW w:w="3854" w:type="dxa"/>
          </w:tcPr>
          <w:p w:rsidR="004546C7" w:rsidRDefault="00FF3A44" w:rsidP="00CA6A44">
            <w:proofErr w:type="gramStart"/>
            <w:r w:rsidRPr="00CA6A44">
              <w:t>представленные</w:t>
            </w:r>
            <w:proofErr w:type="gramEnd"/>
            <w:r w:rsidRPr="00CA6A44">
              <w:t xml:space="preserve">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0ABC" w:rsidRPr="00CA6A44" w:rsidRDefault="007A0ABC" w:rsidP="00CA6A44"/>
        </w:tc>
        <w:tc>
          <w:tcPr>
            <w:tcW w:w="3742" w:type="dxa"/>
          </w:tcPr>
          <w:p w:rsidR="004546C7" w:rsidRPr="00CA6A44" w:rsidRDefault="00FF3A44" w:rsidP="00CA6A44">
            <w:r w:rsidRPr="00CA6A44">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CA6A44">
            <w:r w:rsidRPr="00CA6A44">
              <w:lastRenderedPageBreak/>
              <w:t>подпункт "д" пункта 2.12</w:t>
            </w:r>
          </w:p>
        </w:tc>
        <w:tc>
          <w:tcPr>
            <w:tcW w:w="3854" w:type="dxa"/>
          </w:tcPr>
          <w:p w:rsidR="004546C7" w:rsidRPr="00CA6A44" w:rsidRDefault="00FF3A44" w:rsidP="00CA6A44">
            <w:r w:rsidRPr="00CA6A44">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CA6A44">
            <w:r w:rsidRPr="00CA6A44">
              <w:t>Указывается 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w:t>
      </w:r>
      <w:proofErr w:type="gramStart"/>
      <w:r w:rsidRPr="00CA6A44">
        <w:t>указывается</w:t>
      </w:r>
      <w:proofErr w:type="gramEnd"/>
      <w:r w:rsidRPr="00CA6A44">
        <w:t xml:space="preserve"> информация, необходимая для устранения оснований для отказа в</w:t>
      </w:r>
    </w:p>
    <w:p w:rsidR="004546C7" w:rsidRPr="00CA6A44" w:rsidRDefault="00FF3A44" w:rsidP="00CA6A44">
      <w:r w:rsidRPr="00CA6A44">
        <w:t xml:space="preserve">  </w:t>
      </w:r>
      <w:proofErr w:type="gramStart"/>
      <w:r w:rsidRPr="00CA6A44">
        <w:t>приеме</w:t>
      </w:r>
      <w:proofErr w:type="gramEnd"/>
      <w:r w:rsidRPr="00CA6A44">
        <w:t xml:space="preserve"> документов, необходимых для предоставления услуги, а также иная</w:t>
      </w:r>
    </w:p>
    <w:p w:rsidR="004546C7" w:rsidRPr="00CA6A44" w:rsidRDefault="00FF3A44" w:rsidP="00CA6A44">
      <w:r w:rsidRPr="00CA6A44">
        <w:t xml:space="preserve">                  дополнительная информация при наличии)</w:t>
      </w:r>
    </w:p>
    <w:p w:rsidR="004546C7" w:rsidRPr="00CA6A44" w:rsidRDefault="004546C7" w:rsidP="00CA6A44"/>
    <w:p w:rsidR="004546C7" w:rsidRPr="00CA6A44" w:rsidRDefault="00FF3A44" w:rsidP="00CA6A44">
      <w:r w:rsidRPr="00CA6A44">
        <w:t>Приложение:</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 xml:space="preserve">должность)   </w:t>
      </w:r>
      <w:proofErr w:type="gramEnd"/>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88" w:name="P856"/>
      <w:bookmarkEnd w:id="88"/>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B64079">
      <w:pPr>
        <w:pStyle w:val="1"/>
        <w:jc w:val="right"/>
      </w:pPr>
      <w:bookmarkStart w:id="89" w:name="_Toc134019914"/>
      <w:r w:rsidRPr="00CA6A44">
        <w:lastRenderedPageBreak/>
        <w:t>Приложение 3</w:t>
      </w:r>
      <w:bookmarkEnd w:id="89"/>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CA6A44">
        <w:tc>
          <w:tcPr>
            <w:tcW w:w="9071" w:type="dxa"/>
            <w:tcBorders>
              <w:top w:val="nil"/>
              <w:left w:val="nil"/>
              <w:bottom w:val="nil"/>
              <w:right w:val="nil"/>
            </w:tcBorders>
          </w:tcPr>
          <w:p w:rsidR="004546C7" w:rsidRPr="00CA6A44" w:rsidRDefault="004546C7" w:rsidP="00CA6A44"/>
        </w:tc>
      </w:tr>
    </w:tbl>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822"/>
        <w:gridCol w:w="407"/>
        <w:gridCol w:w="510"/>
        <w:gridCol w:w="2721"/>
      </w:tblGrid>
      <w:tr w:rsidR="00CA6A44" w:rsidRPr="00CA6A44" w:rsidTr="007A0ABC">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tcBorders>
          </w:tcPr>
          <w:p w:rsidR="004546C7" w:rsidRPr="00CA6A44" w:rsidRDefault="004546C7" w:rsidP="00CA6A44"/>
        </w:tc>
        <w:tc>
          <w:tcPr>
            <w:tcW w:w="822" w:type="dxa"/>
          </w:tcPr>
          <w:p w:rsidR="004546C7" w:rsidRPr="00CA6A44" w:rsidRDefault="00FF3A44" w:rsidP="007A0ABC">
            <w:pPr>
              <w:ind w:right="-122" w:firstLine="0"/>
            </w:pPr>
            <w:r w:rsidRPr="00CA6A44">
              <w:t>Кому</w:t>
            </w:r>
          </w:p>
        </w:tc>
        <w:tc>
          <w:tcPr>
            <w:tcW w:w="3638" w:type="dxa"/>
            <w:gridSpan w:val="3"/>
            <w:tcBorders>
              <w:top w:val="nil"/>
              <w:left w:val="nil"/>
              <w:bottom w:val="single" w:sz="4" w:space="0" w:color="auto"/>
              <w:right w:val="nil"/>
            </w:tcBorders>
          </w:tcPr>
          <w:p w:rsidR="004546C7" w:rsidRPr="00CA6A44" w:rsidRDefault="004546C7" w:rsidP="00CA6A44"/>
        </w:tc>
      </w:tr>
      <w:tr w:rsidR="00CA6A44" w:rsidRPr="00CA6A44">
        <w:trPr>
          <w:trHeight w:val="322"/>
        </w:trPr>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vMerge w:val="restart"/>
            <w:tcBorders>
              <w:top w:val="nil"/>
              <w:left w:val="nil"/>
              <w:bottom w:val="nil"/>
              <w:right w:val="nil"/>
            </w:tcBorders>
          </w:tcPr>
          <w:p w:rsidR="004546C7" w:rsidRPr="00CA6A44" w:rsidRDefault="00FF3A44" w:rsidP="00CA6A44">
            <w:r w:rsidRPr="00CA6A44">
              <w:t>(</w:t>
            </w:r>
            <w:proofErr w:type="gramStart"/>
            <w:r w:rsidRPr="00CA6A44">
              <w:t>фамилия</w:t>
            </w:r>
            <w:proofErr w:type="gramEnd"/>
            <w:r w:rsidRPr="00CA6A44">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7A0ABC" w:rsidRDefault="00FF3A44" w:rsidP="007A0ABC">
            <w:pPr>
              <w:ind w:firstLine="0"/>
              <w:rPr>
                <w:sz w:val="24"/>
                <w:szCs w:val="24"/>
              </w:rPr>
            </w:pPr>
            <w:r w:rsidRPr="007A0ABC">
              <w:rPr>
                <w:sz w:val="24"/>
                <w:szCs w:val="24"/>
              </w:rPr>
              <w:t>Почтовый</w:t>
            </w:r>
          </w:p>
          <w:p w:rsidR="004546C7" w:rsidRPr="00CA6A44" w:rsidRDefault="00FF3A44" w:rsidP="007A0ABC">
            <w:pPr>
              <w:ind w:firstLine="0"/>
            </w:pPr>
            <w:proofErr w:type="gramStart"/>
            <w:r w:rsidRPr="007A0ABC">
              <w:rPr>
                <w:sz w:val="24"/>
                <w:szCs w:val="24"/>
              </w:rPr>
              <w:t>адрес</w:t>
            </w:r>
            <w:proofErr w:type="gramEnd"/>
          </w:p>
        </w:tc>
        <w:tc>
          <w:tcPr>
            <w:tcW w:w="3231" w:type="dxa"/>
            <w:gridSpan w:val="2"/>
            <w:tcBorders>
              <w:top w:val="nil"/>
              <w:left w:val="nil"/>
              <w:bottom w:val="single" w:sz="4" w:space="0" w:color="auto"/>
              <w:right w:val="nil"/>
            </w:tcBorders>
          </w:tcPr>
          <w:p w:rsidR="004546C7" w:rsidRPr="00CA6A44" w:rsidRDefault="004546C7" w:rsidP="00CA6A44"/>
        </w:tc>
      </w:tr>
      <w:tr w:rsidR="00CA6A44" w:rsidRPr="00CA6A44">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3231" w:type="dxa"/>
            <w:gridSpan w:val="2"/>
            <w:tcBorders>
              <w:top w:val="single" w:sz="4" w:space="0" w:color="auto"/>
              <w:left w:val="nil"/>
              <w:bottom w:val="nil"/>
              <w:right w:val="nil"/>
            </w:tcBorders>
          </w:tcPr>
          <w:p w:rsidR="004546C7" w:rsidRPr="00CA6A44" w:rsidRDefault="00FF3A44" w:rsidP="00CA6A44">
            <w:r w:rsidRPr="00CA6A44">
              <w:t>(почтовый индекс и адрес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1739" w:type="dxa"/>
            <w:gridSpan w:val="3"/>
            <w:tcBorders>
              <w:top w:val="nil"/>
              <w:left w:val="nil"/>
              <w:bottom w:val="nil"/>
              <w:right w:val="nil"/>
            </w:tcBorders>
          </w:tcPr>
          <w:p w:rsidR="004546C7" w:rsidRPr="00CA6A44" w:rsidRDefault="00FF3A44" w:rsidP="00CA6A44">
            <w:r w:rsidRPr="00CA6A44">
              <w:t>Представитель</w:t>
            </w:r>
          </w:p>
        </w:tc>
        <w:tc>
          <w:tcPr>
            <w:tcW w:w="2721" w:type="dxa"/>
            <w:tcBorders>
              <w:top w:val="nil"/>
              <w:left w:val="nil"/>
              <w:bottom w:val="single" w:sz="4" w:space="0" w:color="auto"/>
              <w:right w:val="nil"/>
            </w:tcBorders>
          </w:tcPr>
          <w:p w:rsidR="004546C7" w:rsidRPr="00CA6A44" w:rsidRDefault="004546C7" w:rsidP="00CA6A44"/>
        </w:tc>
      </w:tr>
      <w:tr w:rsidR="00CA6A44" w:rsidRPr="00CA6A44">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w:t>
            </w:r>
            <w:proofErr w:type="gramStart"/>
            <w:r w:rsidRPr="00CA6A44">
              <w:t>фамилия</w:t>
            </w:r>
            <w:proofErr w:type="gramEnd"/>
            <w:r w:rsidRPr="00CA6A44">
              <w:t>,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489"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single" w:sz="4" w:space="0" w:color="auto"/>
              <w:right w:val="nil"/>
            </w:tcBorders>
          </w:tcPr>
          <w:p w:rsidR="004546C7" w:rsidRPr="00CA6A44" w:rsidRDefault="004546C7" w:rsidP="00CA6A44"/>
        </w:tc>
      </w:tr>
      <w:tr w:rsidR="00CA6A44" w:rsidRPr="00CA6A44">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247"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tcBorders>
              <w:top w:val="single" w:sz="4" w:space="0" w:color="auto"/>
              <w:left w:val="nil"/>
              <w:bottom w:val="nil"/>
              <w:right w:val="nil"/>
            </w:tcBorders>
          </w:tcPr>
          <w:p w:rsidR="004546C7" w:rsidRPr="00CA6A44" w:rsidRDefault="00FF3A44" w:rsidP="00CA6A44">
            <w:r w:rsidRPr="00CA6A44">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90" w:name="P922"/>
      <w:bookmarkEnd w:id="90"/>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w:t>
      </w:r>
      <w:proofErr w:type="gramStart"/>
      <w:r w:rsidRPr="00CA6A44">
        <w:t>В  соответствии</w:t>
      </w:r>
      <w:proofErr w:type="gramEnd"/>
      <w:r w:rsidRPr="00CA6A44">
        <w:t xml:space="preserve">  с  частью  17  статьи  55  Градостроительного  кодекса</w:t>
      </w:r>
    </w:p>
    <w:p w:rsidR="004546C7" w:rsidRPr="00CA6A44" w:rsidRDefault="00FF3A44" w:rsidP="00CA6A44">
      <w:proofErr w:type="gramStart"/>
      <w:r w:rsidRPr="00CA6A44">
        <w:t>Российской  Федерации</w:t>
      </w:r>
      <w:proofErr w:type="gramEnd"/>
      <w:r w:rsidRPr="00CA6A44">
        <w:t xml:space="preserve"> принято решение о возврате застройщику уведомления об</w:t>
      </w:r>
    </w:p>
    <w:p w:rsidR="004546C7" w:rsidRPr="00CA6A44" w:rsidRDefault="00FF3A44" w:rsidP="00CA6A44">
      <w:proofErr w:type="gramStart"/>
      <w:r w:rsidRPr="00CA6A44">
        <w:t>окончании  строительства</w:t>
      </w:r>
      <w:proofErr w:type="gramEnd"/>
      <w:r w:rsidRPr="00CA6A44">
        <w:t xml:space="preserve">  и  прилагаемых к нему документов без рассмотрения</w:t>
      </w:r>
    </w:p>
    <w:p w:rsidR="004546C7" w:rsidRPr="00CA6A44" w:rsidRDefault="00FF3A44" w:rsidP="00CA6A44">
      <w:r w:rsidRPr="00CA6A44">
        <w:t>(_________________________) по следующим</w:t>
      </w:r>
    </w:p>
    <w:p w:rsidR="004546C7" w:rsidRPr="00CA6A44" w:rsidRDefault="00FF3A44" w:rsidP="00CA6A44">
      <w:r w:rsidRPr="00CA6A44">
        <w:t xml:space="preserve">  (входящие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w:t>
      </w:r>
      <w:proofErr w:type="gramStart"/>
      <w:r w:rsidRPr="00CA6A44">
        <w:t>возврат  уведомления</w:t>
      </w:r>
      <w:proofErr w:type="gramEnd"/>
      <w:r w:rsidRPr="00CA6A44">
        <w:t xml:space="preserve"> и документов связи с тем, что не представлены в</w:t>
      </w:r>
    </w:p>
    <w:p w:rsidR="004546C7" w:rsidRPr="00CA6A44" w:rsidRDefault="00FF3A44" w:rsidP="00CA6A44">
      <w:proofErr w:type="gramStart"/>
      <w:r w:rsidRPr="00CA6A44">
        <w:t>полном  объеме</w:t>
      </w:r>
      <w:proofErr w:type="gramEnd"/>
      <w:r w:rsidRPr="00CA6A44">
        <w:t xml:space="preserve"> документы, предусмотренные пунктами 1 - 3 части 16 статьи 55</w:t>
      </w:r>
    </w:p>
    <w:p w:rsidR="004546C7" w:rsidRPr="00CA6A44" w:rsidRDefault="00FF3A44" w:rsidP="00CA6A44">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p>
    <w:p w:rsidR="004546C7" w:rsidRPr="00CA6A44" w:rsidRDefault="00FF3A44" w:rsidP="00CA6A44">
      <w:proofErr w:type="gramStart"/>
      <w:r w:rsidRPr="00CA6A44">
        <w:t>сведений,  предусмотренных</w:t>
      </w:r>
      <w:proofErr w:type="gramEnd"/>
      <w:r w:rsidRPr="00CA6A44">
        <w:t xml:space="preserve">  абзацем 1 части 16 статьи 55 Градостроительного</w:t>
      </w:r>
    </w:p>
    <w:p w:rsidR="004546C7" w:rsidRPr="00CA6A44" w:rsidRDefault="00FF3A44" w:rsidP="00CA6A44">
      <w:proofErr w:type="gramStart"/>
      <w:r w:rsidRPr="00CA6A44">
        <w:t>кодекса</w:t>
      </w:r>
      <w:proofErr w:type="gramEnd"/>
      <w:r w:rsidRPr="00CA6A44">
        <w:t xml:space="preserve"> Российской Федерации;</w:t>
      </w:r>
    </w:p>
    <w:p w:rsidR="004546C7" w:rsidRPr="00CA6A44" w:rsidRDefault="00FF3A44" w:rsidP="00CA6A44">
      <w:r w:rsidRPr="00CA6A44">
        <w:t xml:space="preserve">    -  </w:t>
      </w:r>
      <w:proofErr w:type="gramStart"/>
      <w:r w:rsidRPr="00CA6A44">
        <w:t>возврат  уведомления</w:t>
      </w:r>
      <w:proofErr w:type="gramEnd"/>
      <w:r w:rsidRPr="00CA6A44">
        <w:t xml:space="preserve">  и документов в связи с тем, что уведомление об</w:t>
      </w:r>
    </w:p>
    <w:p w:rsidR="004546C7" w:rsidRPr="00CA6A44" w:rsidRDefault="00FF3A44" w:rsidP="00CA6A44">
      <w:proofErr w:type="gramStart"/>
      <w:r w:rsidRPr="00CA6A44">
        <w:t>окончании  строительства</w:t>
      </w:r>
      <w:proofErr w:type="gramEnd"/>
      <w:r w:rsidRPr="00CA6A44">
        <w:t xml:space="preserve">  поступило  после  истечения  десяти  лет  со  дня</w:t>
      </w:r>
    </w:p>
    <w:p w:rsidR="004546C7" w:rsidRPr="00CA6A44" w:rsidRDefault="00FF3A44" w:rsidP="00CA6A44">
      <w:proofErr w:type="gramStart"/>
      <w:r w:rsidRPr="00CA6A44">
        <w:t>поступления  уведомления</w:t>
      </w:r>
      <w:proofErr w:type="gramEnd"/>
      <w:r w:rsidRPr="00CA6A44">
        <w:t xml:space="preserve">  о  планируемом  строительстве,  в  соответствии с</w:t>
      </w:r>
    </w:p>
    <w:p w:rsidR="004546C7" w:rsidRPr="00CA6A44" w:rsidRDefault="00FF3A44" w:rsidP="00CA6A44">
      <w:proofErr w:type="gramStart"/>
      <w:r w:rsidRPr="00CA6A44">
        <w:t>которым</w:t>
      </w:r>
      <w:proofErr w:type="gramEnd"/>
      <w:r w:rsidRPr="00CA6A44">
        <w:t xml:space="preserve">    осуществлялись    строительство    или   реконструкция   объекта</w:t>
      </w:r>
    </w:p>
    <w:p w:rsidR="004546C7" w:rsidRPr="00CA6A44" w:rsidRDefault="00FF3A44" w:rsidP="00CA6A44">
      <w:r w:rsidRPr="00CA6A44">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p>
    <w:p w:rsidR="004546C7" w:rsidRPr="00CA6A44" w:rsidRDefault="00FF3A44" w:rsidP="00CA6A44">
      <w:proofErr w:type="gramStart"/>
      <w:r w:rsidRPr="00CA6A44">
        <w:t>планируемом  строительстве</w:t>
      </w:r>
      <w:proofErr w:type="gramEnd"/>
      <w:r w:rsidRPr="00CA6A44">
        <w:t xml:space="preserve">  объекта индивидуального жилищного строительства</w:t>
      </w:r>
    </w:p>
    <w:p w:rsidR="004546C7" w:rsidRPr="00CA6A44" w:rsidRDefault="00FF3A44" w:rsidP="00CA6A44">
      <w:proofErr w:type="gramStart"/>
      <w:r w:rsidRPr="00CA6A44">
        <w:lastRenderedPageBreak/>
        <w:t>или  садового</w:t>
      </w:r>
      <w:proofErr w:type="gramEnd"/>
      <w:r w:rsidRPr="00CA6A44">
        <w:t xml:space="preserve">  дома  ранее  не  направлялось  (в  том числе было возвращено</w:t>
      </w:r>
    </w:p>
    <w:p w:rsidR="004546C7" w:rsidRPr="00CA6A44" w:rsidRDefault="00FF3A44" w:rsidP="00CA6A44">
      <w:r w:rsidRPr="00CA6A44">
        <w:t>застройщику  в соответствии с частью 6 статьи 51 Градостроительного кодекса</w:t>
      </w:r>
    </w:p>
    <w:p w:rsidR="004546C7" w:rsidRPr="00CA6A44" w:rsidRDefault="00FF3A44" w:rsidP="00CA6A44">
      <w:r w:rsidRPr="00CA6A44">
        <w:t>Российской Федерации).</w:t>
      </w:r>
    </w:p>
    <w:p w:rsidR="004546C7" w:rsidRPr="00CA6A44" w:rsidRDefault="00FF3A44" w:rsidP="00CA6A44">
      <w:r w:rsidRPr="00CA6A44">
        <w:t xml:space="preserve">    </w:t>
      </w:r>
      <w:proofErr w:type="gramStart"/>
      <w:r w:rsidRPr="00CA6A44">
        <w:t>Вы  вправе</w:t>
      </w:r>
      <w:proofErr w:type="gramEnd"/>
      <w:r w:rsidRPr="00CA6A44">
        <w:t xml:space="preserve">  повторно  обратиться  в </w:t>
      </w:r>
      <w:r w:rsidR="00FD34E5">
        <w:t>Администрация</w:t>
      </w:r>
      <w:r w:rsidRPr="00CA6A44">
        <w:t xml:space="preserve"> с заявлением о</w:t>
      </w:r>
    </w:p>
    <w:p w:rsidR="004546C7" w:rsidRPr="00CA6A44" w:rsidRDefault="00FF3A44" w:rsidP="00CA6A44">
      <w:proofErr w:type="gramStart"/>
      <w:r w:rsidRPr="00CA6A44">
        <w:t>предоставлении</w:t>
      </w:r>
      <w:proofErr w:type="gramEnd"/>
      <w:r w:rsidRPr="00CA6A44">
        <w:t xml:space="preserve">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  возврате  застройщику  уведомления об окончании</w:t>
      </w:r>
    </w:p>
    <w:p w:rsidR="004546C7" w:rsidRPr="00CA6A44" w:rsidRDefault="00FF3A44" w:rsidP="00CA6A44">
      <w:r w:rsidRPr="00CA6A44">
        <w:t>строительства  и  прилагаемых  к  нему  документов  без  рассмотрения такое</w:t>
      </w:r>
    </w:p>
    <w:p w:rsidR="004546C7" w:rsidRPr="00CA6A44" w:rsidRDefault="00FF3A44" w:rsidP="00CA6A44">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p>
    <w:p w:rsidR="004546C7" w:rsidRPr="00CA6A44" w:rsidRDefault="00FF3A44" w:rsidP="00CA6A44">
      <w:proofErr w:type="gramStart"/>
      <w:r w:rsidRPr="00CA6A44">
        <w:t>направления</w:t>
      </w:r>
      <w:proofErr w:type="gramEnd"/>
      <w:r w:rsidRPr="00CA6A44">
        <w:t xml:space="preserve"> жалобы в </w:t>
      </w:r>
      <w:r w:rsidR="00FD34E5">
        <w:t>Администрация</w:t>
      </w:r>
      <w:r w:rsidRPr="00CA6A44">
        <w:t>, а также в судебном порядке.</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 xml:space="preserve">должность)   </w:t>
      </w:r>
      <w:proofErr w:type="gramEnd"/>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1" w:name="P964"/>
      <w:bookmarkEnd w:id="91"/>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Default="004546C7" w:rsidP="00CA6A44"/>
    <w:p w:rsidR="007A0ABC" w:rsidRDefault="007A0ABC" w:rsidP="00CA6A44"/>
    <w:p w:rsidR="007A0ABC" w:rsidRDefault="007A0ABC" w:rsidP="00CA6A44"/>
    <w:p w:rsidR="007A0ABC" w:rsidRDefault="007A0ABC" w:rsidP="00CA6A44"/>
    <w:p w:rsidR="007A0ABC" w:rsidRDefault="007A0ABC" w:rsidP="00CA6A44"/>
    <w:p w:rsidR="004546C7" w:rsidRPr="00CA6A44" w:rsidRDefault="00FF3A44" w:rsidP="00B64079">
      <w:pPr>
        <w:pStyle w:val="1"/>
        <w:jc w:val="right"/>
      </w:pPr>
      <w:bookmarkStart w:id="92" w:name="_Toc134019915"/>
      <w:bookmarkStart w:id="93" w:name="_GoBack"/>
      <w:bookmarkEnd w:id="93"/>
      <w:r w:rsidRPr="00CA6A44">
        <w:lastRenderedPageBreak/>
        <w:t>Приложение 4</w:t>
      </w:r>
      <w:bookmarkEnd w:id="92"/>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4" w:name="P984"/>
      <w:bookmarkEnd w:id="94"/>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proofErr w:type="gramStart"/>
      <w:r w:rsidRPr="00CA6A44">
        <w:t>о</w:t>
      </w:r>
      <w:proofErr w:type="gramEnd"/>
      <w:r w:rsidRPr="00CA6A44">
        <w:t xml:space="preserve">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proofErr w:type="gramStart"/>
      <w:r w:rsidRPr="00CA6A44">
        <w:t>требованиям</w:t>
      </w:r>
      <w:proofErr w:type="gramEnd"/>
      <w:r w:rsidRPr="00CA6A44">
        <w:t xml:space="preserve"> законодательства о градостроительной</w:t>
      </w:r>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w:t>
            </w:r>
            <w:r w:rsidRPr="00CA6A44">
              <w:lastRenderedPageBreak/>
              <w:t>.2.1</w:t>
            </w:r>
          </w:p>
        </w:tc>
        <w:tc>
          <w:tcPr>
            <w:tcW w:w="4635" w:type="dxa"/>
          </w:tcPr>
          <w:p w:rsidR="004546C7" w:rsidRPr="00CA6A44" w:rsidRDefault="00FF3A44" w:rsidP="00CA6A44">
            <w:r w:rsidRPr="00CA6A44">
              <w:lastRenderedPageBreak/>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CA6A44">
            <w:r w:rsidRPr="00CA6A44">
              <w:t>Данные (сведения), указанные в уведомлении</w:t>
            </w:r>
          </w:p>
        </w:tc>
        <w:tc>
          <w:tcPr>
            <w:tcW w:w="2343" w:type="dxa"/>
          </w:tcPr>
          <w:p w:rsidR="004546C7" w:rsidRPr="00CA6A44" w:rsidRDefault="00FF3A44" w:rsidP="00CA6A44">
            <w:r w:rsidRPr="00CA6A44">
              <w:t>Данные (сведения), которые необходимо указать в уведомлении</w:t>
            </w:r>
          </w:p>
        </w:tc>
        <w:tc>
          <w:tcPr>
            <w:tcW w:w="4215" w:type="dxa"/>
          </w:tcPr>
          <w:p w:rsidR="004546C7" w:rsidRPr="00CA6A44" w:rsidRDefault="00FF3A44" w:rsidP="00CA6A44">
            <w:r w:rsidRPr="00CA6A44">
              <w:t>Обоснование с указанием реквизита(-</w:t>
            </w:r>
            <w:proofErr w:type="spellStart"/>
            <w:r w:rsidRPr="00CA6A44">
              <w:t>ов</w:t>
            </w:r>
            <w:proofErr w:type="spellEnd"/>
            <w:r w:rsidRPr="00CA6A44">
              <w:t>) документа(-</w:t>
            </w:r>
            <w:proofErr w:type="spellStart"/>
            <w:r w:rsidRPr="00CA6A44">
              <w:t>ов</w:t>
            </w:r>
            <w:proofErr w:type="spellEnd"/>
            <w:r w:rsidRPr="00CA6A44">
              <w:t>),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соответствии/уведомление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w:t>
            </w:r>
            <w:r w:rsidRPr="00CA6A44">
              <w:lastRenderedPageBreak/>
              <w:t>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lastRenderedPageBreak/>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w:t>
      </w:r>
      <w:proofErr w:type="gramStart"/>
      <w:r w:rsidRPr="00CA6A44">
        <w:t xml:space="preserve">подпись)   </w:t>
      </w:r>
      <w:proofErr w:type="gramEnd"/>
      <w:r w:rsidRPr="00CA6A44">
        <w:t xml:space="preserve">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5" w:name="_Toc134019916"/>
    </w:p>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4546C7" w:rsidRPr="00CA6A44" w:rsidRDefault="00FF3A44" w:rsidP="00B64079">
      <w:pPr>
        <w:pStyle w:val="1"/>
        <w:jc w:val="right"/>
      </w:pPr>
      <w:r w:rsidRPr="00CA6A44">
        <w:lastRenderedPageBreak/>
        <w:t>Приложение 5</w:t>
      </w:r>
      <w:bookmarkEnd w:id="95"/>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w:t>
            </w:r>
            <w:proofErr w:type="gramStart"/>
            <w:r w:rsidRPr="00CA6A44">
              <w:t>фамилия</w:t>
            </w:r>
            <w:proofErr w:type="gramEnd"/>
            <w:r w:rsidRPr="00CA6A44">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proofErr w:type="gramStart"/>
      <w:r w:rsidRPr="00CA6A44">
        <w:t>в</w:t>
      </w:r>
      <w:proofErr w:type="gramEnd"/>
      <w:r w:rsidRPr="00CA6A44">
        <w:t xml:space="preserve"> уведомление о соответствии построенных</w:t>
      </w:r>
    </w:p>
    <w:p w:rsidR="004546C7" w:rsidRPr="00CA6A44" w:rsidRDefault="00FF3A44" w:rsidP="009B6436">
      <w:pPr>
        <w:ind w:firstLine="0"/>
        <w:jc w:val="center"/>
      </w:pPr>
      <w:proofErr w:type="gramStart"/>
      <w:r w:rsidRPr="00CA6A44">
        <w:t>или</w:t>
      </w:r>
      <w:proofErr w:type="gramEnd"/>
      <w:r w:rsidRPr="00CA6A44">
        <w:t xml:space="preserve">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Администрация______________</w:t>
      </w:r>
    </w:p>
    <w:p w:rsidR="004546C7" w:rsidRPr="00CA6A44" w:rsidRDefault="004546C7" w:rsidP="00CA6A44"/>
    <w:p w:rsidR="004546C7" w:rsidRPr="00CA6A44" w:rsidRDefault="00FF3A44" w:rsidP="00CA6A44">
      <w:r w:rsidRPr="00CA6A44">
        <w:t>по  результатам рассмотрения заявления об исправлении допущенных опечаток и</w:t>
      </w:r>
    </w:p>
    <w:p w:rsidR="004546C7" w:rsidRPr="00CA6A44" w:rsidRDefault="00FF3A44" w:rsidP="00CA6A44">
      <w:proofErr w:type="gramStart"/>
      <w:r w:rsidRPr="00CA6A44">
        <w:t>ошибок</w:t>
      </w:r>
      <w:proofErr w:type="gramEnd"/>
      <w:r w:rsidRPr="00CA6A44">
        <w:t xml:space="preserve"> в уведомлении от _________________ N ____________ принято решение об</w:t>
      </w:r>
    </w:p>
    <w:p w:rsidR="004546C7" w:rsidRPr="00CA6A44" w:rsidRDefault="00FF3A44" w:rsidP="00CA6A44">
      <w:r w:rsidRPr="00CA6A44">
        <w:lastRenderedPageBreak/>
        <w:t xml:space="preserve">                           (дата и номер регистрации)</w:t>
      </w:r>
    </w:p>
    <w:p w:rsidR="004546C7" w:rsidRPr="00CA6A44" w:rsidRDefault="00FF3A44" w:rsidP="00CA6A44">
      <w:proofErr w:type="gramStart"/>
      <w:r w:rsidRPr="00CA6A44">
        <w:t>отказе</w:t>
      </w:r>
      <w:proofErr w:type="gramEnd"/>
      <w:r w:rsidRPr="00CA6A44">
        <w:t xml:space="preserve">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CA6A44">
            <w:r w:rsidRPr="00CA6A44">
              <w:t>подпункт "а" пункта 2.17.2</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r w:rsidR="00CA6A44" w:rsidRPr="00CA6A44">
        <w:tc>
          <w:tcPr>
            <w:tcW w:w="1454" w:type="dxa"/>
          </w:tcPr>
          <w:p w:rsidR="004546C7" w:rsidRPr="00CA6A44" w:rsidRDefault="00FF3A44" w:rsidP="00CA6A44">
            <w:r w:rsidRPr="00CA6A44">
              <w:t>подпункт "б" пункта 2.17.2</w:t>
            </w:r>
          </w:p>
        </w:tc>
        <w:tc>
          <w:tcPr>
            <w:tcW w:w="3854" w:type="dxa"/>
          </w:tcPr>
          <w:p w:rsidR="004546C7" w:rsidRPr="00CA6A44" w:rsidRDefault="00FF3A44" w:rsidP="00CA6A44">
            <w:r w:rsidRPr="00CA6A44">
              <w:t>отсутствие опечатки или ошибки в уведомлении</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w:t>
      </w:r>
      <w:proofErr w:type="gramStart"/>
      <w:r w:rsidRPr="00CA6A44">
        <w:t>Вы  вправе</w:t>
      </w:r>
      <w:proofErr w:type="gramEnd"/>
      <w:r w:rsidRPr="00CA6A44">
        <w:t xml:space="preserve">  повторно  обратиться с заявлением об исправлении допущенных</w:t>
      </w:r>
    </w:p>
    <w:p w:rsidR="004546C7" w:rsidRPr="00CA6A44" w:rsidRDefault="00FF3A44" w:rsidP="00CA6A44">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proofErr w:type="gramStart"/>
      <w:r w:rsidRPr="00CA6A44">
        <w:t>направления</w:t>
      </w:r>
      <w:proofErr w:type="gramEnd"/>
      <w:r w:rsidRPr="00CA6A44">
        <w:t xml:space="preserve">                             жалобы                            в</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w:t>
      </w:r>
      <w:proofErr w:type="gramStart"/>
      <w:r w:rsidRPr="00CA6A44">
        <w:t>указывается</w:t>
      </w:r>
      <w:proofErr w:type="gramEnd"/>
      <w:r w:rsidRPr="00CA6A44">
        <w:t xml:space="preserve"> информация, необходимая для устранения причин отказа во</w:t>
      </w:r>
    </w:p>
    <w:p w:rsidR="004546C7" w:rsidRPr="00CA6A44" w:rsidRDefault="00FF3A44" w:rsidP="00CA6A44">
      <w:proofErr w:type="gramStart"/>
      <w:r w:rsidRPr="00CA6A44">
        <w:t>внесении</w:t>
      </w:r>
      <w:proofErr w:type="gramEnd"/>
      <w:r w:rsidRPr="00CA6A44">
        <w:t xml:space="preserve"> исправлений в уведомление, а также иная дополнительная информация</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lastRenderedPageBreak/>
        <w:t>___________________    ____________    ____________________________________</w:t>
      </w:r>
    </w:p>
    <w:p w:rsidR="004546C7" w:rsidRPr="00CA6A44" w:rsidRDefault="00FF3A44" w:rsidP="00CA6A44">
      <w:r w:rsidRPr="00CA6A44">
        <w:t xml:space="preserve">    (</w:t>
      </w:r>
      <w:proofErr w:type="gramStart"/>
      <w:r w:rsidRPr="00CA6A44">
        <w:t xml:space="preserve">должность)   </w:t>
      </w:r>
      <w:proofErr w:type="gramEnd"/>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6" w:name="P1162"/>
      <w:bookmarkEnd w:id="96"/>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7"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4546C7" w:rsidRPr="00CA6A44" w:rsidRDefault="00FF3A44" w:rsidP="00B64079">
      <w:pPr>
        <w:pStyle w:val="1"/>
        <w:jc w:val="right"/>
      </w:pPr>
      <w:r w:rsidRPr="00CA6A44">
        <w:t>Приложение 6</w:t>
      </w:r>
      <w:bookmarkEnd w:id="97"/>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8" w:name="P1183"/>
      <w:bookmarkEnd w:id="98"/>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proofErr w:type="gramStart"/>
      <w:r w:rsidRPr="00CA6A44">
        <w:t>уведомления</w:t>
      </w:r>
      <w:proofErr w:type="gramEnd"/>
      <w:r w:rsidRPr="00CA6A44">
        <w:t xml:space="preserve"> о соответствии построенных</w:t>
      </w:r>
    </w:p>
    <w:p w:rsidR="004546C7" w:rsidRPr="00CA6A44" w:rsidRDefault="00FF3A44" w:rsidP="009B6436">
      <w:pPr>
        <w:ind w:firstLine="0"/>
        <w:jc w:val="center"/>
      </w:pPr>
      <w:proofErr w:type="gramStart"/>
      <w:r w:rsidRPr="00CA6A44">
        <w:t>или</w:t>
      </w:r>
      <w:proofErr w:type="gramEnd"/>
      <w:r w:rsidRPr="00CA6A44">
        <w:t xml:space="preserve">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B64079" w:rsidP="00CA6A44">
      <w:r>
        <w:t>Администрация______________</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w:t>
      </w:r>
      <w:proofErr w:type="gramStart"/>
      <w:r w:rsidRPr="00CA6A44">
        <w:t xml:space="preserve">подпись)   </w:t>
      </w:r>
      <w:proofErr w:type="gramEnd"/>
      <w:r w:rsidRPr="00CA6A44">
        <w:t xml:space="preserve">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4546C7" w:rsidRPr="00CA6A44" w:rsidRDefault="00FF3A44" w:rsidP="00B64079">
      <w:pPr>
        <w:pStyle w:val="1"/>
        <w:jc w:val="right"/>
      </w:pPr>
      <w:bookmarkStart w:id="99" w:name="_Toc134019918"/>
      <w:r w:rsidRPr="00CA6A44">
        <w:lastRenderedPageBreak/>
        <w:t>Приложение 7</w:t>
      </w:r>
      <w:bookmarkEnd w:id="99"/>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w:t>
            </w:r>
            <w:proofErr w:type="gramStart"/>
            <w:r w:rsidRPr="00CA6A44">
              <w:t>фамилия</w:t>
            </w:r>
            <w:proofErr w:type="gramEnd"/>
            <w:r w:rsidRPr="00CA6A44">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9B6436">
      <w:pPr>
        <w:ind w:firstLine="0"/>
        <w:jc w:val="center"/>
      </w:pPr>
      <w:proofErr w:type="gramStart"/>
      <w:r w:rsidRPr="00CA6A44">
        <w:t>уведомления</w:t>
      </w:r>
      <w:proofErr w:type="gramEnd"/>
      <w:r w:rsidRPr="00CA6A44">
        <w:t xml:space="preserve"> о соответствии построенных</w:t>
      </w:r>
    </w:p>
    <w:p w:rsidR="004546C7" w:rsidRPr="00CA6A44" w:rsidRDefault="00FF3A44" w:rsidP="009B6436">
      <w:pPr>
        <w:ind w:firstLine="0"/>
        <w:jc w:val="center"/>
      </w:pPr>
      <w:proofErr w:type="gramStart"/>
      <w:r w:rsidRPr="00CA6A44">
        <w:t>или</w:t>
      </w:r>
      <w:proofErr w:type="gramEnd"/>
      <w:r w:rsidRPr="00CA6A44">
        <w:t xml:space="preserve">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proofErr w:type="gramStart"/>
      <w:r w:rsidRPr="00CA6A44">
        <w:t>уведомления</w:t>
      </w:r>
      <w:proofErr w:type="gramEnd"/>
      <w:r w:rsidRPr="00CA6A44">
        <w:t xml:space="preserve"> о несоответствии построенных</w:t>
      </w:r>
    </w:p>
    <w:p w:rsidR="004546C7" w:rsidRPr="00CA6A44" w:rsidRDefault="00FF3A44" w:rsidP="009B6436">
      <w:pPr>
        <w:ind w:firstLine="0"/>
        <w:jc w:val="center"/>
      </w:pPr>
      <w:proofErr w:type="gramStart"/>
      <w:r w:rsidRPr="00CA6A44">
        <w:t>или</w:t>
      </w:r>
      <w:proofErr w:type="gramEnd"/>
      <w:r w:rsidRPr="00CA6A44">
        <w:t xml:space="preserve">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FF3A44" w:rsidP="00B64079">
      <w:r w:rsidRPr="00CA6A44">
        <w:t xml:space="preserve">          </w:t>
      </w:r>
      <w:r w:rsidR="00B64079">
        <w:t>Администрация______________</w:t>
      </w:r>
    </w:p>
    <w:p w:rsidR="004546C7" w:rsidRPr="00CA6A44" w:rsidRDefault="004546C7" w:rsidP="00B64079"/>
    <w:p w:rsidR="004546C7" w:rsidRPr="00CA6A44" w:rsidRDefault="00FF3A44" w:rsidP="00CA6A44">
      <w:proofErr w:type="gramStart"/>
      <w:r w:rsidRPr="00CA6A44">
        <w:lastRenderedPageBreak/>
        <w:t>по  результатам</w:t>
      </w:r>
      <w:proofErr w:type="gramEnd"/>
      <w:r w:rsidRPr="00CA6A44">
        <w:t xml:space="preserve">  рассмотрения  заявления  о выдаче дубликата уведомления от</w:t>
      </w:r>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выдаче дубликата уведомления</w:t>
            </w:r>
          </w:p>
        </w:tc>
      </w:tr>
      <w:tr w:rsidR="00CA6A44" w:rsidRPr="00CA6A44">
        <w:tc>
          <w:tcPr>
            <w:tcW w:w="1454" w:type="dxa"/>
          </w:tcPr>
          <w:p w:rsidR="004546C7" w:rsidRPr="00CA6A44" w:rsidRDefault="00FF3A44" w:rsidP="00CA6A44">
            <w:r w:rsidRPr="00CA6A44">
              <w:t>пункт 2.17.3</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p>
    <w:p w:rsidR="004546C7" w:rsidRPr="00CA6A44" w:rsidRDefault="00FF3A44" w:rsidP="00CA6A44">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proofErr w:type="gramStart"/>
      <w:r w:rsidRPr="00CA6A44">
        <w:t>направления</w:t>
      </w:r>
      <w:proofErr w:type="gramEnd"/>
      <w:r w:rsidRPr="00CA6A44">
        <w:t xml:space="preserve">                             жалобы                            в</w:t>
      </w:r>
    </w:p>
    <w:p w:rsidR="004546C7" w:rsidRPr="00CA6A44" w:rsidRDefault="00FF3A44" w:rsidP="00CA6A44">
      <w:r w:rsidRPr="00CA6A44">
        <w:t>_______________________________________________________________________</w:t>
      </w:r>
    </w:p>
    <w:p w:rsidR="004546C7" w:rsidRPr="00CA6A44" w:rsidRDefault="00FF3A44" w:rsidP="00CA6A44">
      <w:r w:rsidRPr="00CA6A44">
        <w:t>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w:t>
      </w:r>
      <w:proofErr w:type="gramStart"/>
      <w:r w:rsidRPr="00CA6A44">
        <w:t>указывается</w:t>
      </w:r>
      <w:proofErr w:type="gramEnd"/>
      <w:r w:rsidRPr="00CA6A44">
        <w:t xml:space="preserve"> информация, необходимая для устранения причин отказа в выдаче</w:t>
      </w:r>
    </w:p>
    <w:p w:rsidR="004546C7" w:rsidRPr="00CA6A44" w:rsidRDefault="00FF3A44" w:rsidP="00CA6A44">
      <w:r w:rsidRPr="00CA6A44">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 xml:space="preserve">должность)   </w:t>
      </w:r>
      <w:proofErr w:type="gramEnd"/>
      <w:r w:rsidRPr="00CA6A44">
        <w:t xml:space="preserve">       (подпись)             (фамилия, имя, отчество</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100" w:name="P1349"/>
      <w:bookmarkEnd w:id="100"/>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14372">
      <w:headerReference w:type="default" r:id="rId19"/>
      <w:headerReference w:type="first" r:id="rId20"/>
      <w:pgSz w:w="11906" w:h="16838"/>
      <w:pgMar w:top="1134" w:right="567" w:bottom="1418" w:left="1985"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00" w:rsidRDefault="00C14D00">
      <w:r>
        <w:separator/>
      </w:r>
    </w:p>
  </w:endnote>
  <w:endnote w:type="continuationSeparator" w:id="0">
    <w:p w:rsidR="00C14D00" w:rsidRDefault="00C1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00" w:rsidRDefault="00C14D00">
      <w:r>
        <w:separator/>
      </w:r>
    </w:p>
  </w:footnote>
  <w:footnote w:type="continuationSeparator" w:id="0">
    <w:p w:rsidR="00C14D00" w:rsidRDefault="00C1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29836"/>
      <w:docPartObj>
        <w:docPartGallery w:val="Page Numbers (Top of Page)"/>
        <w:docPartUnique/>
      </w:docPartObj>
    </w:sdtPr>
    <w:sdtContent>
      <w:p w:rsidR="00295D57" w:rsidRDefault="00295D57">
        <w:pPr>
          <w:pStyle w:val="a3"/>
          <w:jc w:val="center"/>
        </w:pPr>
        <w:r>
          <w:fldChar w:fldCharType="begin"/>
        </w:r>
        <w:r>
          <w:instrText>PAGE   \* MERGEFORMAT</w:instrText>
        </w:r>
        <w:r>
          <w:fldChar w:fldCharType="separate"/>
        </w:r>
        <w:r w:rsidR="007A0ABC">
          <w:rPr>
            <w:noProof/>
          </w:rPr>
          <w:t>70</w:t>
        </w:r>
        <w:r>
          <w:fldChar w:fldCharType="end"/>
        </w:r>
      </w:p>
    </w:sdtContent>
  </w:sdt>
  <w:p w:rsidR="00295D57" w:rsidRDefault="00295D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9151"/>
      <w:docPartObj>
        <w:docPartGallery w:val="Page Numbers (Top of Page)"/>
        <w:docPartUnique/>
      </w:docPartObj>
    </w:sdtPr>
    <w:sdtContent>
      <w:p w:rsidR="00295D57" w:rsidRDefault="00295D57">
        <w:pPr>
          <w:pStyle w:val="a3"/>
          <w:jc w:val="center"/>
        </w:pPr>
        <w:r>
          <w:fldChar w:fldCharType="begin"/>
        </w:r>
        <w:r>
          <w:instrText>PAGE   \* MERGEFORMAT</w:instrText>
        </w:r>
        <w:r>
          <w:fldChar w:fldCharType="separate"/>
        </w:r>
        <w:r w:rsidR="003F3A3E">
          <w:rPr>
            <w:noProof/>
          </w:rPr>
          <w:t>1</w:t>
        </w:r>
        <w:r>
          <w:fldChar w:fldCharType="end"/>
        </w:r>
      </w:p>
    </w:sdtContent>
  </w:sdt>
  <w:p w:rsidR="00295D57" w:rsidRDefault="00295D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734F8"/>
    <w:rsid w:val="0008551E"/>
    <w:rsid w:val="000B7BDF"/>
    <w:rsid w:val="000C1668"/>
    <w:rsid w:val="000F5135"/>
    <w:rsid w:val="00120284"/>
    <w:rsid w:val="001278CC"/>
    <w:rsid w:val="00170F34"/>
    <w:rsid w:val="001E6150"/>
    <w:rsid w:val="00202A95"/>
    <w:rsid w:val="00266DDE"/>
    <w:rsid w:val="00295D57"/>
    <w:rsid w:val="0029712A"/>
    <w:rsid w:val="002A4EE6"/>
    <w:rsid w:val="002D36FE"/>
    <w:rsid w:val="002E2996"/>
    <w:rsid w:val="003508AF"/>
    <w:rsid w:val="00376A0D"/>
    <w:rsid w:val="00383C0A"/>
    <w:rsid w:val="003D3A3D"/>
    <w:rsid w:val="003D5AB5"/>
    <w:rsid w:val="003E042D"/>
    <w:rsid w:val="003E3632"/>
    <w:rsid w:val="003F3A3E"/>
    <w:rsid w:val="00403722"/>
    <w:rsid w:val="004175DB"/>
    <w:rsid w:val="00450DDF"/>
    <w:rsid w:val="004546C7"/>
    <w:rsid w:val="00463683"/>
    <w:rsid w:val="004F3662"/>
    <w:rsid w:val="0056383A"/>
    <w:rsid w:val="00625F9F"/>
    <w:rsid w:val="006910EF"/>
    <w:rsid w:val="0069517F"/>
    <w:rsid w:val="006D5DED"/>
    <w:rsid w:val="00735775"/>
    <w:rsid w:val="007605B0"/>
    <w:rsid w:val="007A0ABC"/>
    <w:rsid w:val="007A165C"/>
    <w:rsid w:val="007A279C"/>
    <w:rsid w:val="007D09D0"/>
    <w:rsid w:val="00813B0B"/>
    <w:rsid w:val="0081767A"/>
    <w:rsid w:val="00820D46"/>
    <w:rsid w:val="00825589"/>
    <w:rsid w:val="00842F19"/>
    <w:rsid w:val="008A2CC4"/>
    <w:rsid w:val="008C6448"/>
    <w:rsid w:val="008E341F"/>
    <w:rsid w:val="009143F3"/>
    <w:rsid w:val="0095443B"/>
    <w:rsid w:val="00957658"/>
    <w:rsid w:val="00966AB3"/>
    <w:rsid w:val="009B6436"/>
    <w:rsid w:val="00A14372"/>
    <w:rsid w:val="00A34859"/>
    <w:rsid w:val="00AA0A6C"/>
    <w:rsid w:val="00AB4445"/>
    <w:rsid w:val="00AC1C5D"/>
    <w:rsid w:val="00AC6883"/>
    <w:rsid w:val="00AF4FEF"/>
    <w:rsid w:val="00B248A0"/>
    <w:rsid w:val="00B36C11"/>
    <w:rsid w:val="00B64079"/>
    <w:rsid w:val="00BA14D9"/>
    <w:rsid w:val="00BE68D7"/>
    <w:rsid w:val="00C039E6"/>
    <w:rsid w:val="00C14D00"/>
    <w:rsid w:val="00C503EA"/>
    <w:rsid w:val="00C75D3C"/>
    <w:rsid w:val="00CA6882"/>
    <w:rsid w:val="00CA6A44"/>
    <w:rsid w:val="00D00C9B"/>
    <w:rsid w:val="00D529A8"/>
    <w:rsid w:val="00DC5434"/>
    <w:rsid w:val="00DC7584"/>
    <w:rsid w:val="00E05687"/>
    <w:rsid w:val="00E413A7"/>
    <w:rsid w:val="00E75C17"/>
    <w:rsid w:val="00F33434"/>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9469F-6357-4C33-9C45-536B8569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B79A-4541-4988-87A4-5979D79F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70</Pages>
  <Words>20045</Words>
  <Characters>114259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user</cp:lastModifiedBy>
  <cp:revision>34</cp:revision>
  <cp:lastPrinted>2023-06-01T15:26:00Z</cp:lastPrinted>
  <dcterms:created xsi:type="dcterms:W3CDTF">2023-05-26T11:20:00Z</dcterms:created>
  <dcterms:modified xsi:type="dcterms:W3CDTF">2023-12-19T18:29:00Z</dcterms:modified>
</cp:coreProperties>
</file>