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A108" w14:textId="02D4CBEE" w:rsidR="00D36433" w:rsidRDefault="00ED46C3">
      <w:r>
        <w:rPr>
          <w:rFonts w:ascii="Arial" w:hAnsi="Arial" w:cs="Arial"/>
          <w:color w:val="000000"/>
          <w:sz w:val="21"/>
          <w:szCs w:val="21"/>
        </w:rPr>
        <w:t>Границы Воронежской области со всеми соседними регионами РФ внесены в ЕГРН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Установлены границы Воронежской области с семью субъектами РФ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 декабря в Единый государственный реестр недвижимости (ЕГРН) внесены сведения об участке границы между Воронежской и Белгородской областями. Ее протяженность составила 396 км, а проходит она по территории шести районов: Нижнедевицкого, Репьевского, Острогожского, Каменского, Ольховатского и Россошанского. Теперь все границы Воронежской области с другими субъектами Российской Федерации внесены в ЕГРН.</w:t>
      </w:r>
      <w:r>
        <w:rPr>
          <w:rFonts w:ascii="Arial" w:hAnsi="Arial" w:cs="Arial"/>
          <w:color w:val="000000"/>
          <w:sz w:val="21"/>
          <w:szCs w:val="21"/>
        </w:rPr>
        <w:br/>
        <w:t>Работа ведомств и региональных властей по установлению, описанию и внесению в ЕГРН сведений о прохождении смежных границ активно ведется уже несколько лет в соответствии с целевой моделью, утвержденной распоряжением Правительства Российской Федерации.  </w:t>
      </w:r>
      <w:r>
        <w:rPr>
          <w:rFonts w:ascii="Arial" w:hAnsi="Arial" w:cs="Arial"/>
          <w:color w:val="000000"/>
          <w:sz w:val="21"/>
          <w:szCs w:val="21"/>
        </w:rPr>
        <w:br/>
        <w:t>В 2017 году в ЕГРН была внесена граница с Липецкой областью. Позднее были установлены границы Воронежской области с Курской, Тамбовской, Ростовской, Волгоградской и Саратовской областями. Оставалось определить границы с Белгородской областью.</w:t>
      </w:r>
      <w:r>
        <w:rPr>
          <w:rFonts w:ascii="Arial" w:hAnsi="Arial" w:cs="Arial"/>
          <w:color w:val="000000"/>
          <w:sz w:val="21"/>
          <w:szCs w:val="21"/>
        </w:rPr>
        <w:br/>
        <w:t>«Внесение сведений о границах между субъектами Российской Федерации позволит решить вопросы предоставления земельных участков физическим и юридическим лицам, размещения объектов капитального строительства, определения кадастровой стоимости, а также обеспечить инвестиционную привлекательность субъекта и эффективное управление земельными ресурсами», – отметила директор Кадастровой палаты Воронежской области Ольга Фефелова.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 проведет горячую линию для риелторов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Ежегодно в третью субботу декабря в России отмечают День риэлтора. Накануне праздника, 17 декабря, Кадастровая палата Воронежской области проведет для агентов по сделкам с недвижимостью горячую линию.</w:t>
      </w:r>
      <w:r>
        <w:rPr>
          <w:rFonts w:ascii="Arial" w:hAnsi="Arial" w:cs="Arial"/>
          <w:color w:val="000000"/>
          <w:sz w:val="21"/>
          <w:szCs w:val="21"/>
        </w:rPr>
        <w:br/>
        <w:t>В течение 2-х часов, с 10:00 до 12:00, специалисты ответят на вопросы приема и выдачи документов по услугам Росреестра, выездного обслуживания Кадастровой палатой, расскажут о порядке предоставления сведений из ЕГРН, а также проконсультируют по различным правовым вопросам.</w:t>
      </w:r>
      <w:r>
        <w:rPr>
          <w:rFonts w:ascii="Arial" w:hAnsi="Arial" w:cs="Arial"/>
          <w:color w:val="000000"/>
          <w:sz w:val="21"/>
          <w:szCs w:val="21"/>
        </w:rPr>
        <w:br/>
        <w:t>Задать свои вопросы можно будет по телефону горячей линии: 8(473) 327-18-99.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объяснила воронежцам, какую недвижимость можно оформить бесплатно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Обязательным условием для оказания услуги по регистрации прав в отношении объектов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недвижимости является уплата государственной пошлины. Ее размеры установлены Налоговым кодексом Российской Федерации. Благодаря внесенным изменениям в законодательство вначале этого года, госпошлина за регистрацию ранее возникших прав на недвижимость больше не требуется. О том, какие объекты недвижимости попадают под данный критерий и нужно ли оформлять свои ранее возникшие права, рассказала Кадастровая палата Воронежской области.</w:t>
      </w:r>
      <w:r>
        <w:rPr>
          <w:rFonts w:ascii="Arial" w:hAnsi="Arial" w:cs="Arial"/>
          <w:color w:val="000000"/>
          <w:sz w:val="21"/>
          <w:szCs w:val="21"/>
        </w:rPr>
        <w:br/>
        <w:t>Ранее возникшим считается право, которое возникло до дня вступления в силу Федерального закона от 21 июля 1997 года №122-ФЗ «О государственной регистрации прав на недвижимое имущество и сделок с ним», т.е. до 31 января 1998 года. Такие права действительны и сегодня даже если не внесены в Единый государственный реестр недвижимости (ЕГРН).</w:t>
      </w:r>
      <w:r>
        <w:rPr>
          <w:rFonts w:ascii="Arial" w:hAnsi="Arial" w:cs="Arial"/>
          <w:color w:val="000000"/>
          <w:sz w:val="21"/>
          <w:szCs w:val="21"/>
        </w:rPr>
        <w:br/>
        <w:t>Все документы до указанной даты, которые оформлялись с учетом требований действующего на тот момент законодательства, тоже являются юридически действительными. Это могут быть: старые договоры купли-продажи, дарения, свидетельства о наследстве, решения, постановления, распоряжения, акты органов государственной власти или органов местного самоуправления о предоставлении (выделении) земельных участков, свидетельства о праве собственности на землю, бессрочного (постоянного) пользования землей, регистрационные удостоверения и другие.</w:t>
      </w:r>
      <w:r>
        <w:rPr>
          <w:rFonts w:ascii="Arial" w:hAnsi="Arial" w:cs="Arial"/>
          <w:color w:val="000000"/>
          <w:sz w:val="21"/>
          <w:szCs w:val="21"/>
        </w:rPr>
        <w:br/>
        <w:t>При постановке на кадастровый учет объекта недвижимости с ранее возникшими правами, в Едином государственном реестре недвижимости ему присваивают статус «ранее учтенный». В отношении данных объектов с 29 июня этого года начали действовать нормы Федерального закона от 30.12.2020 № 518-ФЗ «О внесении изменений в отдельные законодательные акты Российской Федерации».  </w:t>
      </w:r>
      <w:r>
        <w:rPr>
          <w:rFonts w:ascii="Arial" w:hAnsi="Arial" w:cs="Arial"/>
          <w:color w:val="000000"/>
          <w:sz w:val="21"/>
          <w:szCs w:val="21"/>
        </w:rPr>
        <w:br/>
        <w:t>Реализацией закона занимаются органы власти и местного самоуправления. Для поиска правообладателей ранее учтенных объектов недвижимости власти анализируют сведения в своих архивах и направляют запросы в различные организации. После выявления правообладателя уполномоченный орган публикует на сайте и направляет по почте проект решения. Если в течение 45 дней, выявленный   собственник не направил возражения, то в орган регистрации прав подается заявление об оформлении ранее возникших прав без его участия.</w:t>
      </w:r>
      <w:r>
        <w:rPr>
          <w:rFonts w:ascii="Arial" w:hAnsi="Arial" w:cs="Arial"/>
          <w:color w:val="000000"/>
          <w:sz w:val="21"/>
          <w:szCs w:val="21"/>
        </w:rPr>
        <w:br/>
        <w:t>Данный закон не влечет за собой никаких санкций (штрафов) в отношении граждан, поскольку регистрация ранее возникших прав проводится по желанию их обладателей. Наоборот, наличие таких сведений в ЕГРН обеспечит гражданам защиту их прав и имущественных интересов, а также убережет от мошеннических действий с их имуществом.</w:t>
      </w:r>
      <w:r>
        <w:rPr>
          <w:rFonts w:ascii="Arial" w:hAnsi="Arial" w:cs="Arial"/>
          <w:color w:val="000000"/>
          <w:sz w:val="21"/>
          <w:szCs w:val="21"/>
        </w:rPr>
        <w:br/>
        <w:t>Кроме того, если контактные данные правообладателя внесены в ЕГРН, включая номер телефона и адрес электронной почты, то орган регистрации прав может направлять различные уведомления в отношении действий с их объектом недвижимости.</w:t>
      </w:r>
      <w:r>
        <w:rPr>
          <w:rFonts w:ascii="Arial" w:hAnsi="Arial" w:cs="Arial"/>
          <w:color w:val="000000"/>
          <w:sz w:val="21"/>
          <w:szCs w:val="21"/>
        </w:rPr>
        <w:br/>
        <w:t>«Закон не запрещает владельцам недвижимости самостоятельно оформить свои ранее возникшие права. Государственная пошлина в данной ситуации не уплачивается. Поэтому граждане, могут самостоятельно обратиться в орган регистрации прав для оформления своей недвижимости, не ожидая проведения указанных действий от органов власти или местного самоуправления», – отметила директор Кадастровой палаты Воронежской области Ольга Фефелова.</w:t>
      </w:r>
      <w:r>
        <w:rPr>
          <w:rFonts w:ascii="Arial" w:hAnsi="Arial" w:cs="Arial"/>
          <w:color w:val="000000"/>
          <w:sz w:val="21"/>
          <w:szCs w:val="21"/>
        </w:rPr>
        <w:br/>
        <w:t>Подать документы на регистрацию ранее возникших прав на ранее учтенный объект недвижимости заявители могут в офисах МФЦ, почтовым отправлением в орган регистрации прав, с помощью выездного обслуживания Кадастровой палаты или через официальный сайт Росреестра.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Кадастровая палата ответила на вопросы воронежцев о выписках из ЕГРН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Воронежской области провела горячую линию по вопросам предоставления сведений из Единого государственного реестра недвижимости (ЕГРН). В течение 2-х часов специалисты ответили на десятки вопросов жителей региона и выделили самые популярные вопросы граждан.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   Хотим купить квартиру. Как получить выписку о собственнике?</w:t>
      </w:r>
      <w:r>
        <w:rPr>
          <w:rFonts w:ascii="Arial" w:hAnsi="Arial" w:cs="Arial"/>
          <w:color w:val="000000"/>
          <w:sz w:val="21"/>
          <w:szCs w:val="21"/>
        </w:rPr>
        <w:br/>
        <w:t>Узнать информацию о собственнике объекта можно в выписке из ЕГРН об объекте недвижимости, о переходе прав, а также в выписке об основных характеристиках и зарегистрированных правах.</w:t>
      </w:r>
      <w:r>
        <w:rPr>
          <w:rFonts w:ascii="Arial" w:hAnsi="Arial" w:cs="Arial"/>
          <w:color w:val="000000"/>
          <w:sz w:val="21"/>
          <w:szCs w:val="21"/>
        </w:rPr>
        <w:br/>
        <w:t>Заказать выписку из ЕГРН можно не только в бумажном виде, но в электронном виде. Оба формата имеют равную юридическую силу, при этом электронный формат заверяется усиленной квалифицированной электронной подписью органа регистрации прав и стоит дешевле.</w:t>
      </w:r>
      <w:r>
        <w:rPr>
          <w:rFonts w:ascii="Arial" w:hAnsi="Arial" w:cs="Arial"/>
          <w:color w:val="000000"/>
          <w:sz w:val="21"/>
          <w:szCs w:val="21"/>
        </w:rPr>
        <w:br/>
        <w:t>В бумажном виде выписку можно заказать в любом офисе МФЦ «Мои Документы», посредством выездного обслуживания Кадастровой палаты или, направив нотариально заверенный запрос, по почте в адрес Кадастровой палаты Воронежской области: 394077, г. Воронеж, ул. Генерала Лизюкова, д. 2. При этом запрос должен быть направлен по форме и с учетом требований Приказа Росреестра от 08.04.2021 №П/0149.</w:t>
      </w:r>
      <w:r>
        <w:rPr>
          <w:rFonts w:ascii="Arial" w:hAnsi="Arial" w:cs="Arial"/>
          <w:color w:val="000000"/>
          <w:sz w:val="21"/>
          <w:szCs w:val="21"/>
        </w:rPr>
        <w:br/>
        <w:t>В электронном виде выписку можно получить на сайте Росреестра, в том числе с использованием ключей доступа к Федеральной государственной информационной системе ведения ЕГРН (ФГИС ЕГРН), через портал государственных и муниципальных услуг или за несколько минут с помощью сервиса Федеральной кадастровой палаты.</w:t>
      </w:r>
      <w:r>
        <w:rPr>
          <w:rFonts w:ascii="Arial" w:hAnsi="Arial" w:cs="Arial"/>
          <w:color w:val="000000"/>
          <w:sz w:val="21"/>
          <w:szCs w:val="21"/>
        </w:rPr>
        <w:br/>
        <w:t>Обратился в МФЦ за получением выписки на недвижимость. В итоге на одну услугу выдали две квитанции. Почему так?</w:t>
      </w:r>
      <w:r>
        <w:rPr>
          <w:rFonts w:ascii="Arial" w:hAnsi="Arial" w:cs="Arial"/>
          <w:color w:val="000000"/>
          <w:sz w:val="21"/>
          <w:szCs w:val="21"/>
        </w:rPr>
        <w:br/>
        <w:t>С 17 августа 2020 года вступили в силу приказы Росреестра №П/0144 и №П/0145, которые внесли изменения в размеры и порядок возврата платы за предоставление сведений из ЕГРН. При этом стоимость сведений не изменилась, однако, при заказе выписок в бумажном виде в МФЦ общий размер платы теперь делится на две квитанции, которые нужно оплатить заявителю:</w:t>
      </w:r>
      <w:r>
        <w:rPr>
          <w:rFonts w:ascii="Arial" w:hAnsi="Arial" w:cs="Arial"/>
          <w:color w:val="000000"/>
          <w:sz w:val="21"/>
          <w:szCs w:val="21"/>
        </w:rPr>
        <w:br/>
        <w:t>1) с реквизитами для внесения платы на расчетный счет Управления Росреестра по Воронежской области;</w:t>
      </w:r>
      <w:r>
        <w:rPr>
          <w:rFonts w:ascii="Arial" w:hAnsi="Arial" w:cs="Arial"/>
          <w:color w:val="000000"/>
          <w:sz w:val="21"/>
          <w:szCs w:val="21"/>
        </w:rPr>
        <w:br/>
        <w:t>2) с реквизитами для внесения части платы на расчетный счет МФЦ.</w:t>
      </w:r>
      <w:r>
        <w:rPr>
          <w:rFonts w:ascii="Arial" w:hAnsi="Arial" w:cs="Arial"/>
          <w:color w:val="000000"/>
          <w:sz w:val="21"/>
          <w:szCs w:val="21"/>
        </w:rPr>
        <w:br/>
        <w:t>Оплачивать услугу следует после подачи запроса на предоставление сведений из ЕГРН, но не позднее семи календарных дней с даты получения уникального идентификатора начисления (УИН), который указан в платежных документах.</w:t>
      </w:r>
      <w:r>
        <w:rPr>
          <w:rFonts w:ascii="Arial" w:hAnsi="Arial" w:cs="Arial"/>
          <w:color w:val="000000"/>
          <w:sz w:val="21"/>
          <w:szCs w:val="21"/>
        </w:rPr>
        <w:br/>
        <w:t>При заказе выписок онлайн случайно оплатил одну из них дважды. Можно ли вернуть часть денег?</w:t>
      </w:r>
      <w:r>
        <w:rPr>
          <w:rFonts w:ascii="Arial" w:hAnsi="Arial" w:cs="Arial"/>
          <w:color w:val="000000"/>
          <w:sz w:val="21"/>
          <w:szCs w:val="21"/>
        </w:rPr>
        <w:br/>
        <w:t>Плательщик вправе обратиться в Кадастровую палату Воронежской области с заявлением о возврате платежа. Данное заявление нужно подать в течение трех лет со дня внесения платы.</w:t>
      </w:r>
      <w:r>
        <w:rPr>
          <w:rFonts w:ascii="Arial" w:hAnsi="Arial" w:cs="Arial"/>
          <w:color w:val="000000"/>
          <w:sz w:val="21"/>
          <w:szCs w:val="21"/>
        </w:rPr>
        <w:br/>
        <w:t>К заявлению прилагаются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  <w:r>
        <w:rPr>
          <w:rFonts w:ascii="Arial" w:hAnsi="Arial" w:cs="Arial"/>
          <w:color w:val="000000"/>
          <w:sz w:val="21"/>
          <w:szCs w:val="21"/>
        </w:rPr>
        <w:br/>
        <w:t>Заявление с документами может быть подано почтовым отправлением или при личном обращении по адресу: 394077, обл. Воронежская, г. Воронеж, ул. Генерала Лизюкова, д. 2, каб. 404. В случае подачи в электронном виде – заявление подписывается усиленной квалифицированной электронной подписью.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1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Кадастровая палата расскажет воронежцам о внесении в ЕГРН границ населенных пунктов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15 декабря 2021 года с 10:00 до 12:00 Кадастровая палата Воронежской области проведет горячую линию по вопросам внесения в Единый государственный реестр недвижимости (ЕГРН) сведений о границах населенных пунктов.</w:t>
      </w:r>
      <w:r>
        <w:rPr>
          <w:rFonts w:ascii="Arial" w:hAnsi="Arial" w:cs="Arial"/>
          <w:color w:val="000000"/>
          <w:sz w:val="21"/>
          <w:szCs w:val="21"/>
        </w:rPr>
        <w:br/>
        <w:t>Кто подает документы об установлении или изменении границ населенных пунктов? В какие сроки сведения будут внесены в ЕГРН? Какие документы потребуются?</w:t>
      </w:r>
      <w:r>
        <w:rPr>
          <w:rFonts w:ascii="Arial" w:hAnsi="Arial" w:cs="Arial"/>
          <w:color w:val="000000"/>
          <w:sz w:val="21"/>
          <w:szCs w:val="21"/>
        </w:rPr>
        <w:br/>
        <w:t>На эти и многие другие вопросы можно получить ответ по телефону горячей линии: 8(473) 327-18-92.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Контакты для СМИ:</w:t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2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13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28"/>
    <w:rsid w:val="00801328"/>
    <w:rsid w:val="00D36433"/>
    <w:rsid w:val="00E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078E-29F5-43D1-A5E7-35CA8262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13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11" Type="http://schemas.openxmlformats.org/officeDocument/2006/relationships/hyperlink" Target="https://kadastr.ru/" TargetMode="External"/><Relationship Id="rId5" Type="http://schemas.openxmlformats.org/officeDocument/2006/relationships/hyperlink" Target="https://kadast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ess@36.kadastr.ru" TargetMode="External"/><Relationship Id="rId4" Type="http://schemas.openxmlformats.org/officeDocument/2006/relationships/hyperlink" Target="mailto:press@36.kadastr.ru" TargetMode="External"/><Relationship Id="rId9" Type="http://schemas.openxmlformats.org/officeDocument/2006/relationships/hyperlink" Target="https://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2023-04-06T10:09:00Z</dcterms:created>
  <dcterms:modified xsi:type="dcterms:W3CDTF">2023-04-06T10:09:00Z</dcterms:modified>
</cp:coreProperties>
</file>