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36D7" w14:textId="44B4834A" w:rsidR="00D36433" w:rsidRDefault="004F0D59">
      <w:r>
        <w:rPr>
          <w:rFonts w:ascii="Arial" w:hAnsi="Arial" w:cs="Arial"/>
          <w:color w:val="000000"/>
          <w:sz w:val="21"/>
          <w:szCs w:val="21"/>
        </w:rPr>
        <w:t>ПЕРЕХОДИМ НА ЦИФРЫ, В ТОМ ЧИСЛЕ ЭЛЕКТРОННЫЕ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Количество заявлений, поданных на регистрацию недвижимости в 2021 году, осталось на уровне прошлого года. Так, жители региона подали в Управление Росреестра по Воронежской области 591 604 заявления (годом раньше – 605 010). Об этом рассказала руководитель регионального управления Росреестра Елена Перегудова на пресс-конференции в пресс-центре «Интерфакса» в Воронеже.</w:t>
      </w:r>
      <w:r>
        <w:rPr>
          <w:rFonts w:ascii="Arial" w:hAnsi="Arial" w:cs="Arial"/>
          <w:color w:val="000000"/>
          <w:sz w:val="21"/>
          <w:szCs w:val="21"/>
        </w:rPr>
        <w:br/>
        <w:t>Из этого числа:</w:t>
      </w:r>
      <w:r>
        <w:rPr>
          <w:rFonts w:ascii="Arial" w:hAnsi="Arial" w:cs="Arial"/>
          <w:color w:val="000000"/>
          <w:sz w:val="21"/>
          <w:szCs w:val="21"/>
        </w:rPr>
        <w:br/>
        <w:t>– 514 862 заявления касались государственной регистрации прав. В прошлом году эта цифра была чуть выше – 536 491. Снижение составило 4%;</w:t>
      </w:r>
      <w:r>
        <w:rPr>
          <w:rFonts w:ascii="Arial" w:hAnsi="Arial" w:cs="Arial"/>
          <w:color w:val="000000"/>
          <w:sz w:val="21"/>
          <w:szCs w:val="21"/>
        </w:rPr>
        <w:br/>
        <w:t>– 51 827 заявлений на постановку на кадастровый учет. В 2020 году эта цифра была меньше на 3% и составила 50 548;</w:t>
      </w:r>
      <w:r>
        <w:rPr>
          <w:rFonts w:ascii="Arial" w:hAnsi="Arial" w:cs="Arial"/>
          <w:color w:val="000000"/>
          <w:sz w:val="21"/>
          <w:szCs w:val="21"/>
        </w:rPr>
        <w:br/>
        <w:t>– 24 915 заявлений – на единую процедуру кадастрового учета и регистрации прав. Здесь наблюдается существенный прирост по сравнению с прошлым годом – 39%. В цифрах он был всего 17 971.</w:t>
      </w:r>
      <w:r>
        <w:rPr>
          <w:rFonts w:ascii="Arial" w:hAnsi="Arial" w:cs="Arial"/>
          <w:color w:val="000000"/>
          <w:sz w:val="21"/>
          <w:szCs w:val="21"/>
        </w:rPr>
        <w:br/>
        <w:t>Также государственные регистраторы провели 604 498 регистрационных действий, касающихся регистрации прав и кадастрового учета. По сравнению с 2020 годом снижение составило 4%.</w:t>
      </w:r>
      <w:r>
        <w:rPr>
          <w:rFonts w:ascii="Arial" w:hAnsi="Arial" w:cs="Arial"/>
          <w:color w:val="000000"/>
          <w:sz w:val="21"/>
          <w:szCs w:val="21"/>
        </w:rPr>
        <w:br/>
        <w:t>Здесь цифры распределились следующим образом:</w:t>
      </w:r>
      <w:r>
        <w:rPr>
          <w:rFonts w:ascii="Arial" w:hAnsi="Arial" w:cs="Arial"/>
          <w:color w:val="000000"/>
          <w:sz w:val="21"/>
          <w:szCs w:val="21"/>
        </w:rPr>
        <w:br/>
        <w:t>– 528 118 регистрационных действий, связанных с регистрацией прав, ограничений (обременений) прав. По сравнению с 2020 годом рост составил 6%. В прошлом году их было 547 498;</w:t>
      </w:r>
      <w:r>
        <w:rPr>
          <w:rFonts w:ascii="Arial" w:hAnsi="Arial" w:cs="Arial"/>
          <w:color w:val="000000"/>
          <w:sz w:val="21"/>
          <w:szCs w:val="21"/>
        </w:rPr>
        <w:br/>
        <w:t>– 53 234 (65 524 – 2020 год) регистрационных действия по постановке на кадастровый учет объектов недвижимого имущества. Здесь снижение составило 19 %.</w:t>
      </w:r>
      <w:r>
        <w:rPr>
          <w:rFonts w:ascii="Arial" w:hAnsi="Arial" w:cs="Arial"/>
          <w:color w:val="000000"/>
          <w:sz w:val="21"/>
          <w:szCs w:val="21"/>
        </w:rPr>
        <w:br/>
        <w:t>Зато почти на 65% выросло количество заявлений и учетно-регистрационных действий по единой процедуре – 23 146 в 2021 году (14 017 – 2020 год).</w:t>
      </w:r>
      <w:r>
        <w:rPr>
          <w:rFonts w:ascii="Arial" w:hAnsi="Arial" w:cs="Arial"/>
          <w:color w:val="000000"/>
          <w:sz w:val="21"/>
          <w:szCs w:val="21"/>
        </w:rPr>
        <w:br/>
        <w:t>«Это связано с введением по большинству процедур учета обязательности одновременной регистрации прав, а также обязательности регистрации права при постановке на учет ранее учтенных объектов недвижимости», – пояснила Елена Перегудова.</w:t>
      </w:r>
      <w:r>
        <w:rPr>
          <w:rFonts w:ascii="Arial" w:hAnsi="Arial" w:cs="Arial"/>
          <w:color w:val="000000"/>
          <w:sz w:val="21"/>
          <w:szCs w:val="21"/>
        </w:rPr>
        <w:br/>
        <w:t>Существенный рост наблюдается и по ипотечным сделкам. Так в 2021 году их количество выросло на 9,5% по сравнению с предыдущим годом до 87 тысяч. Так, в прошлом году в ЕГРН было внесено 15 268 записей по договорной ипотеке, что на 19% ниже уровня предыдущего года, а по ипотеке в силу закона – 71 746 (рост на 18%). При этом большая часть ипотечных сделок была совершена в электронном виде. Кроме того, особое внимание в 2021 году было уделено льготной и сельской ипотекам. С использованием льготной ипотеки было зарегистрировано 9 850 сделок (рост в 1,5 раза), в рамках сельской ипотеки – 696 (рост в 1,4 раза).</w:t>
      </w:r>
      <w:r>
        <w:rPr>
          <w:rFonts w:ascii="Arial" w:hAnsi="Arial" w:cs="Arial"/>
          <w:color w:val="000000"/>
          <w:sz w:val="21"/>
          <w:szCs w:val="21"/>
        </w:rPr>
        <w:br/>
        <w:t>Особо руководитель регионального Управления Росреестра выделила цифры по государственной регистрации ипотеки в электронном виде, ведь за 12 месяцев 2021 года в Воронежской области количество таких действий увеличилось на 315,5% и составило 59 170 (в 2020 году –14 247).</w:t>
      </w:r>
      <w:r>
        <w:rPr>
          <w:rFonts w:ascii="Arial" w:hAnsi="Arial" w:cs="Arial"/>
          <w:color w:val="000000"/>
          <w:sz w:val="21"/>
          <w:szCs w:val="21"/>
        </w:rPr>
        <w:br/>
        <w:t>«Ещё в 2020 году Управление совместно со Сбербанком приступило к реализации проекта по электронной регистрации ипотеки за 1 день. На начальном этапе речь шла о ДДУ со счетами эскроу и о продаже жилья юридическими лицами, – рассказала Елена Перегудова. – В 2021 году в Воронежской области в проект вовлечены ПАО «Сбербанк РФ», ПАО ВТБ, ПАО «Совкомбанк», АКБ «Металлургический инвестиционный банк», ПАО «Росбанк», Банк «Открытие» и Тинькофф Банк. По мере готовности банков в 2022 году планируется присоединение остальных кредитных организаций региона».</w:t>
      </w:r>
      <w:r>
        <w:rPr>
          <w:rFonts w:ascii="Arial" w:hAnsi="Arial" w:cs="Arial"/>
          <w:color w:val="000000"/>
          <w:sz w:val="21"/>
          <w:szCs w:val="21"/>
        </w:rPr>
        <w:br/>
        <w:t>Также в 2021 году число зарегистрированных в Воронежской области договоров участия в долевом строительстве выросло по сравнению с 2020 годом на 21% – до 16,5 тыс., из них почти 87% были обеспечены расчетами через счета эскроу.</w:t>
      </w:r>
      <w:r>
        <w:rPr>
          <w:rFonts w:ascii="Arial" w:hAnsi="Arial" w:cs="Arial"/>
          <w:color w:val="000000"/>
          <w:sz w:val="21"/>
          <w:szCs w:val="21"/>
        </w:rPr>
        <w:br/>
        <w:t>Кроме того, за 2021 год Управлением было зарегистрировано 86 договоров участия в долевом строительстве, заключенных с первым участником долевого строительства (в 2020 – всего 57 таких договоров), поставлено на государственный кадастровый учет 89 многоквартирных домов, что примерно на уровне 2020 года (91 МКД).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>Также Кадастровая палата Воронежской области озвучила итоги работы по предоставлению сведений из Единого государственного реестра недвижимости (ЕГРН) за 2021 год.</w:t>
      </w:r>
      <w:r>
        <w:rPr>
          <w:rFonts w:ascii="Arial" w:hAnsi="Arial" w:cs="Arial"/>
          <w:color w:val="000000"/>
          <w:sz w:val="21"/>
          <w:szCs w:val="21"/>
        </w:rPr>
        <w:br/>
        <w:t>С 1 июля 2021 года учреждение приступило к выдаче выписок из ЕГРН о содержании правоустанавливающих документов, а также в виде копии договора, иного документа, выражающего содержание односторонней сделки и иных правоустанавливающих документов. Ранее данные сведения выдавало Управление Росреестра по Воронежской области.</w:t>
      </w:r>
      <w:r>
        <w:rPr>
          <w:rFonts w:ascii="Arial" w:hAnsi="Arial" w:cs="Arial"/>
          <w:color w:val="000000"/>
          <w:sz w:val="21"/>
          <w:szCs w:val="21"/>
        </w:rPr>
        <w:br/>
        <w:t>Всего в прошлом году рассмотрено более 2 миллионов (2 148 744) запросов о предоставлении сведений из ЕГРН, что по сравнению с предыдущим годом больше в 2 раза (1 235 655). Из них 91% (1 963 749) документов подготовлено в электронном виде.</w:t>
      </w:r>
      <w:r>
        <w:rPr>
          <w:rFonts w:ascii="Arial" w:hAnsi="Arial" w:cs="Arial"/>
          <w:color w:val="000000"/>
          <w:sz w:val="21"/>
          <w:szCs w:val="21"/>
        </w:rPr>
        <w:br/>
        <w:t>Чаще всего в 2021 году заявители запрашивали выписку из ЕГРН о правах отдельного лица на имевшиеся (имеющиеся) у него объекты недвижимости на территории РФ (529 061). Второй по популярности стала выписка из ЕГРН об объекте недвижимости (521 737), третьей – выписка об основных характеристиках и зарегистрированных правах на объект недвижимости (342 921).</w:t>
      </w:r>
      <w:r>
        <w:rPr>
          <w:rFonts w:ascii="Arial" w:hAnsi="Arial" w:cs="Arial"/>
          <w:color w:val="000000"/>
          <w:sz w:val="21"/>
          <w:szCs w:val="21"/>
        </w:rPr>
        <w:br/>
        <w:t>«Увеличение доли оказания услуг Росреестра в электронном виде относится к приоритетным направлениям повышения качества и доступности государственных услуг, – рассказала директор Кадастровой палаты Воронежской области Ольга Фефелова. – В 2021 году средний срок предоставления сведений, содержащихся в ЕГРН, сократился по сравнению с предыдущим годом еще на один день и составил 1 рабочий день, вместо 3-х, установленных действующим законодательством».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Контакты для СМИ:</w:t>
      </w:r>
      <w:r>
        <w:rPr>
          <w:rFonts w:ascii="Arial" w:hAnsi="Arial" w:cs="Arial"/>
          <w:color w:val="000000"/>
          <w:sz w:val="21"/>
          <w:szCs w:val="21"/>
        </w:rPr>
        <w:br/>
        <w:t>Пресс-служба Кадастровой палаты по Воронежской области</w:t>
      </w:r>
      <w:r>
        <w:rPr>
          <w:rFonts w:ascii="Arial" w:hAnsi="Arial" w:cs="Arial"/>
          <w:color w:val="000000"/>
          <w:sz w:val="21"/>
          <w:szCs w:val="21"/>
        </w:rPr>
        <w:br/>
        <w:t>8 (473) 327-18-92 (доб. 2429 или 2326)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4" w:tooltip="Написать письмо" w:history="1">
        <w:r>
          <w:rPr>
            <w:rStyle w:val="a3"/>
            <w:rFonts w:ascii="Arial" w:hAnsi="Arial" w:cs="Arial"/>
            <w:color w:val="1B3549"/>
            <w:sz w:val="21"/>
            <w:szCs w:val="21"/>
          </w:rPr>
          <w:t>press@36.kadastr.ru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5" w:history="1">
        <w:r>
          <w:rPr>
            <w:rStyle w:val="a3"/>
            <w:rFonts w:ascii="Arial" w:hAnsi="Arial" w:cs="Arial"/>
            <w:color w:val="1B3549"/>
            <w:sz w:val="21"/>
            <w:szCs w:val="21"/>
          </w:rPr>
          <w:t>https://kadastr.ru/</w:t>
        </w:r>
      </w:hyperlink>
      <w:r>
        <w:rPr>
          <w:rFonts w:ascii="Arial" w:hAnsi="Arial" w:cs="Arial"/>
          <w:color w:val="000000"/>
          <w:sz w:val="21"/>
          <w:szCs w:val="21"/>
        </w:rPr>
        <w:br/>
        <w:t>394077, г. Воронеж, ул. Генерала Лизюкова, д. 2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Кадастровая палата расскажет воронежцам об оформлении домов, гаражей, помещений и сооружений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16 марта 2022 года с 10:00 до 12:00 Кадастровая палата Воронежской области проведет горячую линию по вопросам кадастрового учета объектов капитального строительства.</w:t>
      </w:r>
      <w:r>
        <w:rPr>
          <w:rFonts w:ascii="Arial" w:hAnsi="Arial" w:cs="Arial"/>
          <w:color w:val="000000"/>
          <w:sz w:val="21"/>
          <w:szCs w:val="21"/>
        </w:rPr>
        <w:br/>
        <w:t>Как оформить дом по «дачной амнистии» или гараж по «гаражной амнистии»? Как поставить на кадастровый учет машино-место? Как правильно разделить жилой дом? Как снять с учета объект незавершенного строительства?</w:t>
      </w:r>
      <w:r>
        <w:rPr>
          <w:rFonts w:ascii="Arial" w:hAnsi="Arial" w:cs="Arial"/>
          <w:color w:val="000000"/>
          <w:sz w:val="21"/>
          <w:szCs w:val="21"/>
        </w:rPr>
        <w:br/>
        <w:t>Ответы на эти и другие вопросы можно получить по телефону: 8(473) 327-18-93.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Контакты для СМИ:</w:t>
      </w:r>
      <w:r>
        <w:rPr>
          <w:rFonts w:ascii="Arial" w:hAnsi="Arial" w:cs="Arial"/>
          <w:color w:val="000000"/>
          <w:sz w:val="21"/>
          <w:szCs w:val="21"/>
        </w:rPr>
        <w:br/>
        <w:t>Пресс-служба Кадастровой палаты по Воронежской области</w:t>
      </w:r>
      <w:r>
        <w:rPr>
          <w:rFonts w:ascii="Arial" w:hAnsi="Arial" w:cs="Arial"/>
          <w:color w:val="000000"/>
          <w:sz w:val="21"/>
          <w:szCs w:val="21"/>
        </w:rPr>
        <w:br/>
        <w:t>8 (473) 327-18-92 (доб. 2429 или 2326)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6" w:tooltip="Написать письмо" w:history="1">
        <w:r>
          <w:rPr>
            <w:rStyle w:val="a3"/>
            <w:rFonts w:ascii="Arial" w:hAnsi="Arial" w:cs="Arial"/>
            <w:color w:val="1B3549"/>
            <w:sz w:val="21"/>
            <w:szCs w:val="21"/>
          </w:rPr>
          <w:t>press@36.kadastr.ru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7" w:history="1">
        <w:r>
          <w:rPr>
            <w:rStyle w:val="a3"/>
            <w:rFonts w:ascii="Arial" w:hAnsi="Arial" w:cs="Arial"/>
            <w:color w:val="1B3549"/>
            <w:sz w:val="21"/>
            <w:szCs w:val="21"/>
          </w:rPr>
          <w:t>https://kadastr.ru/</w:t>
        </w:r>
      </w:hyperlink>
      <w:r>
        <w:rPr>
          <w:rFonts w:ascii="Arial" w:hAnsi="Arial" w:cs="Arial"/>
          <w:color w:val="000000"/>
          <w:sz w:val="21"/>
          <w:szCs w:val="21"/>
        </w:rPr>
        <w:br/>
        <w:t>394077, г. Воронеж, ул. Генерала Лизюкова, д. 2</w:t>
      </w:r>
    </w:p>
    <w:sectPr w:rsidR="00D3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447"/>
    <w:rsid w:val="004B5447"/>
    <w:rsid w:val="004F0D59"/>
    <w:rsid w:val="00D3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B91DD-9164-48A9-A11A-59CC2338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0D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da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hyperlink" Target="https://kadastr.ru/" TargetMode="External"/><Relationship Id="rId4" Type="http://schemas.openxmlformats.org/officeDocument/2006/relationships/hyperlink" Target="mailto:press@36.kadastr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961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2023-04-06T10:09:00Z</dcterms:created>
  <dcterms:modified xsi:type="dcterms:W3CDTF">2023-04-06T10:09:00Z</dcterms:modified>
</cp:coreProperties>
</file>